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5F054">
      <w:pPr>
        <w:spacing w:before="2000" w:after="1300"/>
        <w:jc w:val="center"/>
      </w:pPr>
      <w:r>
        <w:rPr>
          <w:rFonts w:ascii="Heiti SC" w:hAnsi="Heiti SC" w:eastAsia="Heiti SC" w:cs="Heiti SC"/>
          <w:b/>
          <w:color w:val="008F88"/>
          <w:sz w:val="60"/>
        </w:rPr>
        <w:t>TURBO RADAR</w:t>
        <w:br/>
        <w:br/>
        <w:t>PRODUCT FIRST.</w:t>
        <w:br/>
        <w:t>ACCESS WITH NVB.</w:t>
      </w:r>
    </w:p>
    <w:p w14:paraId="410BB684">
      <w:pPr>
        <w:spacing w:after="100" w:line="283" w:lineRule="auto"/>
        <w:jc w:val="center"/>
      </w:pPr>
      <w:r>
        <w:rPr>
          <w:rFonts w:ascii="Heiti SC" w:hAnsi="Heiti SC" w:eastAsia="Heiti SC" w:cs="Heiti SC"/>
          <w:b/>
          <w:color w:val="071522"/>
          <w:sz w:val="54"/>
        </w:rPr>
        <w:t>TURBO RADAR × NVB</w:t>
      </w:r>
    </w:p>
    <w:p w14:paraId="207E7D33">
      <w:pPr>
        <w:spacing w:after="100" w:line="283" w:lineRule="auto"/>
        <w:jc w:val="center"/>
      </w:pPr>
      <w:r>
        <w:rPr>
          <w:rFonts w:ascii="Heiti SC" w:hAnsi="Heiti SC" w:eastAsia="Heiti SC" w:cs="Heiti SC"/>
          <w:b/>
          <w:color w:val="31D89A"/>
          <w:sz w:val="22"/>
        </w:rPr>
        <w:t>NVB — Access Pass to Turbo Radar</w:t>
      </w:r>
    </w:p>
    <w:p w14:paraId="3F1F11D0">
      <w:pPr>
        <w:spacing w:after="100" w:line="283" w:lineRule="auto"/>
        <w:jc w:val="center"/>
      </w:pPr>
      <w:r>
        <w:rPr>
          <w:rFonts w:ascii="Heiti SC" w:hAnsi="Heiti SC" w:eastAsia="Heiti SC" w:cs="Heiti SC"/>
          <w:b/>
          <w:color w:val="172636"/>
          <w:sz w:val="30"/>
        </w:rPr>
        <w:t>Institutional &amp; Tokenomics Edition · V3.0</w:t>
      </w:r>
    </w:p>
    <w:p w14:paraId="4A8514CE">
      <w:pPr>
        <w:spacing w:after="100" w:line="283" w:lineRule="auto"/>
        <w:jc w:val="center"/>
      </w:pPr>
      <w:r>
        <w:rPr>
          <w:rFonts w:ascii="Heiti SC" w:hAnsi="Heiti SC" w:eastAsia="Heiti SC" w:cs="Heiti SC"/>
          <w:b w:val="0"/>
          <w:color w:val="6D8092"/>
          <w:sz w:val="24"/>
        </w:rPr>
        <w:t>Turbo Radar 是产品。NVB 是高级功能与生态权限的通行证。</w:t>
      </w:r>
    </w:p>
    <w:p w14:paraId="6C49B1F2">
      <w:pPr>
        <w:spacing w:after="100" w:line="283" w:lineRule="auto"/>
        <w:jc w:val="center"/>
      </w:pPr>
      <w:r>
        <w:rPr>
          <w:rFonts w:ascii="Heiti SC" w:hAnsi="Heiti SC" w:eastAsia="Heiti SC" w:cs="Heiti SC"/>
          <w:b w:val="0"/>
          <w:color w:val="6D8092"/>
          <w:sz w:val="17"/>
        </w:rPr>
        <w:t>September 2026</w:t>
      </w:r>
    </w:p>
    <w:p w14:paraId="50145606">
      <w:r>
        <w:rPr>
          <w:rFonts w:ascii="Heiti SC" w:hAnsi="Heiti SC" w:eastAsia="Heiti SC" w:cs="Heiti SC"/>
        </w:rPr>
        <w:br w:type="page"/>
      </w:r>
    </w:p>
    <w:p w14:paraId="09E83D69">
      <w:r>
        <w:rPr>
          <w:rFonts w:ascii="Heiti SC" w:hAnsi="Heiti SC" w:eastAsia="Heiti SC" w:cs="Heiti SC"/>
          <w:b/>
          <w:color w:val="31D89A"/>
          <w:sz w:val="22"/>
        </w:rPr>
        <w:t xml:space="preserve">00  </w:t>
      </w:r>
      <w:r>
        <w:rPr>
          <w:rFonts w:ascii="Heiti SC" w:hAnsi="Heiti SC" w:eastAsia="Heiti SC" w:cs="Heiti SC"/>
          <w:b/>
          <w:color w:val="071522"/>
          <w:sz w:val="40"/>
        </w:rPr>
        <w:t>Executive Thesis</w:t>
      </w:r>
    </w:p>
    <w:p w14:paraId="2167318E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先建立产品价值，再形成 NVB 使用价值</w:t>
      </w:r>
    </w:p>
    <w:p w14:paraId="333E365A">
      <w:pPr>
        <w:spacing w:after="100" w:line="283" w:lineRule="auto"/>
      </w:pPr>
      <w:r>
        <w:rPr>
          <w:rFonts w:ascii="Heiti SC" w:hAnsi="Heiti SC" w:eastAsia="Heiti SC" w:cs="Heiti SC"/>
          <w:b w:val="0"/>
          <w:color w:val="172636"/>
          <w:sz w:val="20"/>
        </w:rPr>
        <w:t>Turbo Radar 是加密市场数据与辅助分析产品，帮助用户理解行情、筛选候选资产并查看证据。NVB 是通往 Turbo Radar 高级功能与生态权限的通行证。本白皮书描述产品架构与规划；尚未上线的功能不代表当前已交付。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4917"/>
      </w:tblGrid>
      <w:tr w14:paraId="795DEC44">
        <w:trPr>
          <w:jc w:val="center"/>
        </w:trPr>
        <w:tc>
          <w:tcPr>
            <w:tcW w:w="4917" w:type="dxa"/>
            <w:shd w:val="clear" w:color="auto" w:fill="071522"/>
          </w:tcPr>
          <w:p w14:paraId="0F75F09E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项目</w:t>
            </w:r>
          </w:p>
        </w:tc>
        <w:tc>
          <w:tcPr>
            <w:tcW w:w="4917" w:type="dxa"/>
            <w:shd w:val="clear" w:color="auto" w:fill="071522"/>
          </w:tcPr>
          <w:p w14:paraId="38D1F4AA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说明</w:t>
            </w:r>
          </w:p>
        </w:tc>
      </w:tr>
      <w:tr w14:paraId="19EB1900">
        <w:trPr>
          <w:jc w:val="center"/>
        </w:trPr>
        <w:tc>
          <w:tcPr>
            <w:tcW w:w="4917" w:type="dxa"/>
            <w:shd w:val="clear" w:color="auto" w:fill="EAF7F4"/>
          </w:tcPr>
          <w:p w14:paraId="234EEC33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Product</w:t>
            </w:r>
          </w:p>
        </w:tc>
        <w:tc>
          <w:tcPr>
            <w:tcW w:w="4917" w:type="dxa"/>
          </w:tcPr>
          <w:p w14:paraId="3D65C839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币种雷达 / 新币 / DEX / Flow / Prediction / 预警 / API</w:t>
            </w:r>
          </w:p>
        </w:tc>
      </w:tr>
      <w:tr w14:paraId="1587F6DF">
        <w:trPr>
          <w:jc w:val="center"/>
        </w:trPr>
        <w:tc>
          <w:tcPr>
            <w:tcW w:w="4917" w:type="dxa"/>
            <w:shd w:val="clear" w:color="auto" w:fill="EAF7F4"/>
          </w:tcPr>
          <w:p w14:paraId="7560CDE2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Moat</w:t>
            </w:r>
          </w:p>
        </w:tc>
        <w:tc>
          <w:tcPr>
            <w:tcW w:w="4917" w:type="dxa"/>
          </w:tcPr>
          <w:p w14:paraId="3F033A20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Evidence + Risk + Signal + 多源数据标准化</w:t>
            </w:r>
          </w:p>
        </w:tc>
      </w:tr>
      <w:tr w14:paraId="24FAB6CB">
        <w:trPr>
          <w:jc w:val="center"/>
        </w:trPr>
        <w:tc>
          <w:tcPr>
            <w:tcW w:w="4917" w:type="dxa"/>
            <w:shd w:val="clear" w:color="auto" w:fill="EAF7F4"/>
          </w:tcPr>
          <w:p w14:paraId="087987D7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Utility</w:t>
            </w:r>
          </w:p>
        </w:tc>
        <w:tc>
          <w:tcPr>
            <w:tcW w:w="4917" w:type="dxa"/>
          </w:tcPr>
          <w:p w14:paraId="1D365873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NVB 用于高级权限、数据额度、API Credits 与生态服务</w:t>
            </w:r>
          </w:p>
        </w:tc>
      </w:tr>
      <w:tr w14:paraId="72B9C1ED">
        <w:trPr>
          <w:jc w:val="center"/>
        </w:trPr>
        <w:tc>
          <w:tcPr>
            <w:tcW w:w="4917" w:type="dxa"/>
            <w:shd w:val="clear" w:color="auto" w:fill="EAF7F4"/>
          </w:tcPr>
          <w:p w14:paraId="0B38D9C7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Business</w:t>
            </w:r>
          </w:p>
        </w:tc>
        <w:tc>
          <w:tcPr>
            <w:tcW w:w="4917" w:type="dxa"/>
          </w:tcPr>
          <w:p w14:paraId="0C83F45E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订阅 + API + 企业服务 + 数据产品</w:t>
            </w:r>
          </w:p>
        </w:tc>
      </w:tr>
    </w:tbl>
    <w:p w14:paraId="06354D53">
      <w:r>
        <w:rPr>
          <w:rFonts w:ascii="Heiti SC" w:hAnsi="Heiti SC" w:eastAsia="Heiti SC" w:cs="Heiti SC"/>
        </w:rPr>
        <w:br w:type="page"/>
      </w:r>
    </w:p>
    <w:p w14:paraId="016BB308">
      <w:r>
        <w:rPr>
          <w:rFonts w:ascii="Heiti SC" w:hAnsi="Heiti SC" w:eastAsia="Heiti SC" w:cs="Heiti SC"/>
          <w:b/>
          <w:color w:val="31D89A"/>
          <w:sz w:val="22"/>
        </w:rPr>
        <w:t xml:space="preserve">01  </w:t>
      </w:r>
      <w:r>
        <w:rPr>
          <w:rFonts w:ascii="Heiti SC" w:hAnsi="Heiti SC" w:eastAsia="Heiti SC" w:cs="Heiti SC"/>
          <w:b/>
          <w:color w:val="071522"/>
          <w:sz w:val="40"/>
        </w:rPr>
        <w:t>Vision</w:t>
      </w:r>
    </w:p>
    <w:p w14:paraId="5D1EF663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让任何人都能看懂正在发生的加密市场</w:t>
      </w:r>
    </w:p>
    <w:p w14:paraId="57928060">
      <w:pPr>
        <w:spacing w:after="100" w:line="283" w:lineRule="auto"/>
      </w:pPr>
      <w:r>
        <w:rPr>
          <w:rFonts w:ascii="Heiti SC" w:hAnsi="Heiti SC" w:eastAsia="Heiti SC" w:cs="Heiti SC"/>
          <w:b w:val="0"/>
          <w:color w:val="172636"/>
          <w:sz w:val="20"/>
        </w:rPr>
        <w:t>币圈不缺数据，缺的是把数据讲明白。Turbo Radar 的使命是降低信息理解门槛：用户不需要先成为链上分析师、量化研究员或 DEX 专家，也能快速知道为什么涨、资金去了哪里、现在处于什么阶段、风险在哪里。</w:t>
      </w:r>
    </w:p>
    <w:p w14:paraId="095BF2BF">
      <w:r>
        <w:rPr>
          <w:rFonts w:ascii="Heiti SC" w:hAnsi="Heiti SC" w:eastAsia="Heiti SC" w:cs="Heiti SC"/>
        </w:rPr>
        <w:br w:type="page"/>
      </w:r>
    </w:p>
    <w:p w14:paraId="14F43EA4">
      <w:r>
        <w:rPr>
          <w:rFonts w:ascii="Heiti SC" w:hAnsi="Heiti SC" w:eastAsia="Heiti SC" w:cs="Heiti SC"/>
          <w:b/>
          <w:color w:val="31D89A"/>
          <w:sz w:val="22"/>
        </w:rPr>
        <w:t xml:space="preserve">02  </w:t>
      </w:r>
      <w:r>
        <w:rPr>
          <w:rFonts w:ascii="Heiti SC" w:hAnsi="Heiti SC" w:eastAsia="Heiti SC" w:cs="Heiti SC"/>
          <w:b/>
          <w:color w:val="071522"/>
          <w:sz w:val="40"/>
        </w:rPr>
        <w:t>Product Stack</w:t>
      </w:r>
    </w:p>
    <w:p w14:paraId="404F4656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从 C 端 Radar 到 Institutional Intelligence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4917"/>
      </w:tblGrid>
      <w:tr w14:paraId="66E0E4D4">
        <w:trPr>
          <w:jc w:val="center"/>
        </w:trPr>
        <w:tc>
          <w:tcPr>
            <w:tcW w:w="4917" w:type="dxa"/>
            <w:shd w:val="clear" w:color="auto" w:fill="071522"/>
          </w:tcPr>
          <w:p w14:paraId="4BDC732C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项目</w:t>
            </w:r>
          </w:p>
        </w:tc>
        <w:tc>
          <w:tcPr>
            <w:tcW w:w="4917" w:type="dxa"/>
            <w:shd w:val="clear" w:color="auto" w:fill="071522"/>
          </w:tcPr>
          <w:p w14:paraId="14BCF554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说明</w:t>
            </w:r>
          </w:p>
        </w:tc>
      </w:tr>
      <w:tr w14:paraId="23169A98">
        <w:trPr>
          <w:jc w:val="center"/>
        </w:trPr>
        <w:tc>
          <w:tcPr>
            <w:tcW w:w="4917" w:type="dxa"/>
            <w:shd w:val="clear" w:color="auto" w:fill="EAF7F4"/>
          </w:tcPr>
          <w:p w14:paraId="1745BDAB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Market Radar</w:t>
            </w:r>
          </w:p>
        </w:tc>
        <w:tc>
          <w:tcPr>
            <w:tcW w:w="4917" w:type="dxa"/>
          </w:tcPr>
          <w:p w14:paraId="5A684FC1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主流币与重点资产状态</w:t>
            </w:r>
          </w:p>
        </w:tc>
      </w:tr>
      <w:tr w14:paraId="2CE6D699">
        <w:trPr>
          <w:jc w:val="center"/>
        </w:trPr>
        <w:tc>
          <w:tcPr>
            <w:tcW w:w="4917" w:type="dxa"/>
            <w:shd w:val="clear" w:color="auto" w:fill="EAF7F4"/>
          </w:tcPr>
          <w:p w14:paraId="05F05ABA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AI Candidate</w:t>
            </w:r>
          </w:p>
        </w:tc>
        <w:tc>
          <w:tcPr>
            <w:tcW w:w="4917" w:type="dxa"/>
          </w:tcPr>
          <w:p w14:paraId="4422166B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多因子筛选异常候选</w:t>
            </w:r>
          </w:p>
        </w:tc>
      </w:tr>
      <w:tr w14:paraId="7F6C6AF8">
        <w:trPr>
          <w:jc w:val="center"/>
        </w:trPr>
        <w:tc>
          <w:tcPr>
            <w:tcW w:w="4917" w:type="dxa"/>
            <w:shd w:val="clear" w:color="auto" w:fill="EAF7F4"/>
          </w:tcPr>
          <w:p w14:paraId="534BCD2A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New Token Radar</w:t>
            </w:r>
          </w:p>
        </w:tc>
        <w:tc>
          <w:tcPr>
            <w:tcW w:w="4917" w:type="dxa"/>
          </w:tcPr>
          <w:p w14:paraId="4F3FDBA5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新发行资产与早期变化</w:t>
            </w:r>
          </w:p>
        </w:tc>
      </w:tr>
      <w:tr w14:paraId="6F7CA6D8">
        <w:trPr>
          <w:jc w:val="center"/>
        </w:trPr>
        <w:tc>
          <w:tcPr>
            <w:tcW w:w="4917" w:type="dxa"/>
            <w:shd w:val="clear" w:color="auto" w:fill="EAF7F4"/>
          </w:tcPr>
          <w:p w14:paraId="26BDEB76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DEX Pool Radar</w:t>
            </w:r>
          </w:p>
        </w:tc>
        <w:tc>
          <w:tcPr>
            <w:tcW w:w="4917" w:type="dxa"/>
          </w:tcPr>
          <w:p w14:paraId="4C0E0481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新池、流动性、LP 与成交异常</w:t>
            </w:r>
          </w:p>
        </w:tc>
      </w:tr>
      <w:tr w14:paraId="6DAAEB2E">
        <w:trPr>
          <w:jc w:val="center"/>
        </w:trPr>
        <w:tc>
          <w:tcPr>
            <w:tcW w:w="4917" w:type="dxa"/>
            <w:shd w:val="clear" w:color="auto" w:fill="EAF7F4"/>
          </w:tcPr>
          <w:p w14:paraId="4B283211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Flow Radar</w:t>
            </w:r>
          </w:p>
        </w:tc>
        <w:tc>
          <w:tcPr>
            <w:tcW w:w="4917" w:type="dxa"/>
          </w:tcPr>
          <w:p w14:paraId="17160DC2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钱包、Swap、大额资金与地址行为</w:t>
            </w:r>
          </w:p>
        </w:tc>
      </w:tr>
      <w:tr w14:paraId="605B3573">
        <w:trPr>
          <w:jc w:val="center"/>
        </w:trPr>
        <w:tc>
          <w:tcPr>
            <w:tcW w:w="4917" w:type="dxa"/>
            <w:shd w:val="clear" w:color="auto" w:fill="EAF7F4"/>
          </w:tcPr>
          <w:p w14:paraId="6BB34624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Prediction Radar</w:t>
            </w:r>
          </w:p>
        </w:tc>
        <w:tc>
          <w:tcPr>
            <w:tcW w:w="4917" w:type="dxa"/>
          </w:tcPr>
          <w:p w14:paraId="75B9735E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事件概率、成交与流动性</w:t>
            </w:r>
          </w:p>
        </w:tc>
      </w:tr>
      <w:tr w14:paraId="22ACF883">
        <w:trPr>
          <w:jc w:val="center"/>
        </w:trPr>
        <w:tc>
          <w:tcPr>
            <w:tcW w:w="4917" w:type="dxa"/>
            <w:shd w:val="clear" w:color="auto" w:fill="EAF7F4"/>
          </w:tcPr>
          <w:p w14:paraId="516C3C25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Institutional API</w:t>
            </w:r>
          </w:p>
        </w:tc>
        <w:tc>
          <w:tcPr>
            <w:tcW w:w="4917" w:type="dxa"/>
          </w:tcPr>
          <w:p w14:paraId="32C78BCB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数据、信号、证据、风险接口</w:t>
            </w:r>
          </w:p>
        </w:tc>
      </w:tr>
      <w:tr w14:paraId="7CCC49C1">
        <w:trPr>
          <w:jc w:val="center"/>
        </w:trPr>
        <w:tc>
          <w:tcPr>
            <w:tcW w:w="4917" w:type="dxa"/>
            <w:shd w:val="clear" w:color="auto" w:fill="EAF7F4"/>
          </w:tcPr>
          <w:p w14:paraId="69421812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Custom Radar</w:t>
            </w:r>
          </w:p>
        </w:tc>
        <w:tc>
          <w:tcPr>
            <w:tcW w:w="4917" w:type="dxa"/>
          </w:tcPr>
          <w:p w14:paraId="1808BA70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自定义资产、钱包、规则与告警</w:t>
            </w:r>
          </w:p>
        </w:tc>
      </w:tr>
    </w:tbl>
    <w:p w14:paraId="54716EC8">
      <w:r>
        <w:rPr>
          <w:rFonts w:ascii="Heiti SC" w:hAnsi="Heiti SC" w:eastAsia="Heiti SC" w:cs="Heiti SC"/>
        </w:rPr>
        <w:br w:type="page"/>
      </w:r>
    </w:p>
    <w:p w14:paraId="76206CB6">
      <w:r>
        <w:rPr>
          <w:rFonts w:ascii="Heiti SC" w:hAnsi="Heiti SC" w:eastAsia="Heiti SC" w:cs="Heiti SC"/>
          <w:b/>
          <w:color w:val="31D89A"/>
          <w:sz w:val="22"/>
        </w:rPr>
        <w:t xml:space="preserve">03  </w:t>
      </w:r>
      <w:r>
        <w:rPr>
          <w:rFonts w:ascii="Heiti SC" w:hAnsi="Heiti SC" w:eastAsia="Heiti SC" w:cs="Heiti SC"/>
          <w:b/>
          <w:color w:val="071522"/>
          <w:sz w:val="40"/>
        </w:rPr>
        <w:t>Intelligence Architecture</w:t>
      </w:r>
    </w:p>
    <w:p w14:paraId="52478010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六层架构：数据不是终点，解释才是产品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4918"/>
      </w:tblGrid>
      <w:tr w14:paraId="536A54E7">
        <w:trPr>
          <w:jc w:val="center"/>
        </w:trPr>
        <w:tc>
          <w:tcPr>
            <w:tcW w:w="4917" w:type="dxa"/>
            <w:shd w:val="clear" w:color="auto" w:fill="071522"/>
          </w:tcPr>
          <w:p w14:paraId="187982D6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项目</w:t>
            </w:r>
          </w:p>
        </w:tc>
        <w:tc>
          <w:tcPr>
            <w:tcW w:w="4917" w:type="dxa"/>
            <w:shd w:val="clear" w:color="auto" w:fill="071522"/>
          </w:tcPr>
          <w:p w14:paraId="59FB3B5A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说明</w:t>
            </w:r>
          </w:p>
        </w:tc>
      </w:tr>
      <w:tr w14:paraId="23EFC9E4">
        <w:trPr>
          <w:jc w:val="center"/>
        </w:trPr>
        <w:tc>
          <w:tcPr>
            <w:tcW w:w="4917" w:type="dxa"/>
            <w:shd w:val="clear" w:color="auto" w:fill="EAF7F4"/>
          </w:tcPr>
          <w:p w14:paraId="6BE8372D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L1 Data Fabric</w:t>
            </w:r>
          </w:p>
        </w:tc>
        <w:tc>
          <w:tcPr>
            <w:tcW w:w="4917" w:type="dxa"/>
          </w:tcPr>
          <w:p w14:paraId="26AAD1BA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CEX / DEX / Solana / Prediction / 授权数据</w:t>
            </w:r>
          </w:p>
        </w:tc>
      </w:tr>
      <w:tr w14:paraId="0683214A">
        <w:trPr>
          <w:jc w:val="center"/>
        </w:trPr>
        <w:tc>
          <w:tcPr>
            <w:tcW w:w="4917" w:type="dxa"/>
            <w:shd w:val="clear" w:color="auto" w:fill="EAF7F4"/>
          </w:tcPr>
          <w:p w14:paraId="6214C0BF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L2 Streaming</w:t>
            </w:r>
          </w:p>
        </w:tc>
        <w:tc>
          <w:tcPr>
            <w:tcW w:w="4917" w:type="dxa"/>
          </w:tcPr>
          <w:p w14:paraId="6C47EC69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RPC / WebSocket / Webhook / gRPC / Event Bus</w:t>
            </w:r>
          </w:p>
        </w:tc>
      </w:tr>
      <w:tr w14:paraId="5A7E37AF">
        <w:trPr>
          <w:jc w:val="center"/>
        </w:trPr>
        <w:tc>
          <w:tcPr>
            <w:tcW w:w="4917" w:type="dxa"/>
            <w:shd w:val="clear" w:color="auto" w:fill="EAF7F4"/>
          </w:tcPr>
          <w:p w14:paraId="1B6FBE66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L3 Normalize</w:t>
            </w:r>
          </w:p>
        </w:tc>
        <w:tc>
          <w:tcPr>
            <w:tcW w:w="4917" w:type="dxa"/>
          </w:tcPr>
          <w:p w14:paraId="081A1620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资产映射 / 去重 / 时间对齐 / 数据质量</w:t>
            </w:r>
          </w:p>
        </w:tc>
      </w:tr>
      <w:tr w14:paraId="57E4DD96">
        <w:trPr>
          <w:jc w:val="center"/>
        </w:trPr>
        <w:tc>
          <w:tcPr>
            <w:tcW w:w="4917" w:type="dxa"/>
            <w:shd w:val="clear" w:color="auto" w:fill="EAF7F4"/>
          </w:tcPr>
          <w:p w14:paraId="67D96A83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L4 Engines</w:t>
            </w:r>
          </w:p>
        </w:tc>
        <w:tc>
          <w:tcPr>
            <w:tcW w:w="4917" w:type="dxa"/>
          </w:tcPr>
          <w:p w14:paraId="1ABF4F10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Signal / Risk / Evidence / Feature Store</w:t>
            </w:r>
          </w:p>
        </w:tc>
      </w:tr>
      <w:tr w14:paraId="5111A366">
        <w:trPr>
          <w:jc w:val="center"/>
        </w:trPr>
        <w:tc>
          <w:tcPr>
            <w:tcW w:w="4917" w:type="dxa"/>
            <w:shd w:val="clear" w:color="auto" w:fill="EAF7F4"/>
          </w:tcPr>
          <w:p w14:paraId="1277900A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L5 AI Explain</w:t>
            </w:r>
          </w:p>
        </w:tc>
        <w:tc>
          <w:tcPr>
            <w:tcW w:w="4917" w:type="dxa"/>
          </w:tcPr>
          <w:p w14:paraId="71B5050B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解释 / 归纳 / 多语言 / 用户分层</w:t>
            </w:r>
          </w:p>
        </w:tc>
      </w:tr>
      <w:tr w14:paraId="3A73FDF7">
        <w:trPr>
          <w:jc w:val="center"/>
        </w:trPr>
        <w:tc>
          <w:tcPr>
            <w:tcW w:w="4917" w:type="dxa"/>
            <w:shd w:val="clear" w:color="auto" w:fill="EAF7F4"/>
          </w:tcPr>
          <w:p w14:paraId="255B03AE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L6 Access</w:t>
            </w:r>
          </w:p>
        </w:tc>
        <w:tc>
          <w:tcPr>
            <w:tcW w:w="4917" w:type="dxa"/>
          </w:tcPr>
          <w:p w14:paraId="7F4DE383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Web / Mobile / API / Webhook / NVB</w:t>
            </w:r>
          </w:p>
        </w:tc>
      </w:tr>
      <w:tr w14:paraId="480E6A53">
        <w:tc>
          <w:tcPr>
            <w:tcW w:w="9835" w:type="dxa"/>
            <w:gridSpan w:val="2"/>
            <w:shd w:val="clear" w:color="auto" w:fill="F1F8F7"/>
          </w:tcPr>
          <w:p w14:paraId="256E7FA5">
            <w:r>
              <w:rPr>
                <w:rFonts w:ascii="Heiti SC" w:hAnsi="Heiti SC" w:eastAsia="Heiti SC" w:cs="Heiti SC"/>
                <w:b/>
                <w:color w:val="31D89A"/>
                <w:sz w:val="22"/>
              </w:rPr>
              <w:t>工程原则</w:t>
            </w:r>
          </w:p>
          <w:p w14:paraId="67D24FE8">
            <w:r>
              <w:rPr>
                <w:rFonts w:ascii="Heiti SC" w:hAnsi="Heiti SC" w:eastAsia="Heiti SC" w:cs="Heiti SC"/>
                <w:b w:val="0"/>
                <w:color w:val="172636"/>
                <w:sz w:val="18"/>
              </w:rPr>
              <w:t>Signal 与 Risk 分离；Evidence 与 AI 分离；前台简单，后台保留完整证据链。</w:t>
            </w:r>
          </w:p>
        </w:tc>
      </w:tr>
    </w:tbl>
    <w:p w14:paraId="7777570B">
      <w:r>
        <w:rPr>
          <w:rFonts w:ascii="Heiti SC" w:hAnsi="Heiti SC" w:eastAsia="Heiti SC" w:cs="Heiti SC"/>
        </w:rPr>
        <w:br w:type="page"/>
      </w:r>
    </w:p>
    <w:p w14:paraId="318528CD">
      <w:r>
        <w:rPr>
          <w:rFonts w:ascii="Heiti SC" w:hAnsi="Heiti SC" w:eastAsia="Heiti SC" w:cs="Heiti SC"/>
          <w:b/>
          <w:color w:val="31D89A"/>
          <w:sz w:val="22"/>
        </w:rPr>
        <w:t xml:space="preserve">04  </w:t>
      </w:r>
      <w:r>
        <w:rPr>
          <w:rFonts w:ascii="Heiti SC" w:hAnsi="Heiti SC" w:eastAsia="Heiti SC" w:cs="Heiti SC"/>
          <w:b/>
          <w:color w:val="071522"/>
          <w:sz w:val="40"/>
        </w:rPr>
        <w:t>Signal Engine</w:t>
      </w:r>
    </w:p>
    <w:p w14:paraId="71F104F5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把“感觉”变成可计算、可回测的信号</w:t>
      </w:r>
    </w:p>
    <w:p w14:paraId="2C9565B3">
      <w:pPr>
        <w:spacing w:after="100" w:line="283" w:lineRule="auto"/>
      </w:pPr>
      <w:r>
        <w:rPr>
          <w:rFonts w:ascii="Heiti SC" w:hAnsi="Heiti SC" w:eastAsia="Heiti SC" w:cs="Heiti SC"/>
          <w:b w:val="0"/>
          <w:color w:val="172636"/>
          <w:sz w:val="20"/>
        </w:rPr>
        <w:t>示意模型：RadarScore = 100 × σ(w1M + w2V + w3L + w4F + w5A + w6C - w7R)</w:t>
      </w:r>
    </w:p>
    <w:p w14:paraId="249F087F">
      <w:pPr>
        <w:spacing w:after="100" w:line="283" w:lineRule="auto"/>
      </w:pPr>
      <w:r>
        <w:rPr>
          <w:rFonts w:ascii="Heiti SC" w:hAnsi="Heiti SC" w:eastAsia="Heiti SC" w:cs="Heiti SC"/>
          <w:b w:val="0"/>
          <w:color w:val="172636"/>
          <w:sz w:val="20"/>
        </w:rPr>
        <w:t>正式模型参数应通过历史样本、滚动验证和版本治理持续校准，不在白皮书中承诺固定权重。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4917"/>
      </w:tblGrid>
      <w:tr w14:paraId="02E14C03">
        <w:trPr>
          <w:jc w:val="center"/>
        </w:trPr>
        <w:tc>
          <w:tcPr>
            <w:tcW w:w="4917" w:type="dxa"/>
            <w:shd w:val="clear" w:color="auto" w:fill="071522"/>
          </w:tcPr>
          <w:p w14:paraId="75CA2260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项目</w:t>
            </w:r>
          </w:p>
        </w:tc>
        <w:tc>
          <w:tcPr>
            <w:tcW w:w="4917" w:type="dxa"/>
            <w:shd w:val="clear" w:color="auto" w:fill="071522"/>
          </w:tcPr>
          <w:p w14:paraId="5F28929F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说明</w:t>
            </w:r>
          </w:p>
        </w:tc>
      </w:tr>
      <w:tr w14:paraId="3477050A">
        <w:trPr>
          <w:jc w:val="center"/>
        </w:trPr>
        <w:tc>
          <w:tcPr>
            <w:tcW w:w="4917" w:type="dxa"/>
            <w:shd w:val="clear" w:color="auto" w:fill="EAF7F4"/>
          </w:tcPr>
          <w:p w14:paraId="6C574BAC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M Momentum</w:t>
            </w:r>
          </w:p>
        </w:tc>
        <w:tc>
          <w:tcPr>
            <w:tcW w:w="4917" w:type="dxa"/>
          </w:tcPr>
          <w:p w14:paraId="2D752EC2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多周期动量与趋势一致性</w:t>
            </w:r>
          </w:p>
        </w:tc>
      </w:tr>
      <w:tr w14:paraId="5385500E">
        <w:trPr>
          <w:jc w:val="center"/>
        </w:trPr>
        <w:tc>
          <w:tcPr>
            <w:tcW w:w="4917" w:type="dxa"/>
            <w:shd w:val="clear" w:color="auto" w:fill="EAF7F4"/>
          </w:tcPr>
          <w:p w14:paraId="2F747AE0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V Volume</w:t>
            </w:r>
          </w:p>
        </w:tc>
        <w:tc>
          <w:tcPr>
            <w:tcW w:w="4917" w:type="dxa"/>
          </w:tcPr>
          <w:p w14:paraId="00D9789C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成交量相对历史基线异常程度</w:t>
            </w:r>
          </w:p>
        </w:tc>
      </w:tr>
      <w:tr w14:paraId="4D22EAEE">
        <w:trPr>
          <w:jc w:val="center"/>
        </w:trPr>
        <w:tc>
          <w:tcPr>
            <w:tcW w:w="4917" w:type="dxa"/>
            <w:shd w:val="clear" w:color="auto" w:fill="EAF7F4"/>
          </w:tcPr>
          <w:p w14:paraId="2DE43D53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L Liquidity</w:t>
            </w:r>
          </w:p>
        </w:tc>
        <w:tc>
          <w:tcPr>
            <w:tcW w:w="4917" w:type="dxa"/>
          </w:tcPr>
          <w:p w14:paraId="5F336384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流动性、池深与滑点结构</w:t>
            </w:r>
          </w:p>
        </w:tc>
      </w:tr>
      <w:tr w14:paraId="5ED06826">
        <w:trPr>
          <w:jc w:val="center"/>
        </w:trPr>
        <w:tc>
          <w:tcPr>
            <w:tcW w:w="4917" w:type="dxa"/>
            <w:shd w:val="clear" w:color="auto" w:fill="EAF7F4"/>
          </w:tcPr>
          <w:p w14:paraId="1A9B806B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F Flow</w:t>
            </w:r>
          </w:p>
        </w:tc>
        <w:tc>
          <w:tcPr>
            <w:tcW w:w="4917" w:type="dxa"/>
          </w:tcPr>
          <w:p w14:paraId="57B9ED6D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链上净流、大额 Swap、资金方向</w:t>
            </w:r>
          </w:p>
        </w:tc>
      </w:tr>
      <w:tr w14:paraId="77C37DCA">
        <w:trPr>
          <w:jc w:val="center"/>
        </w:trPr>
        <w:tc>
          <w:tcPr>
            <w:tcW w:w="4917" w:type="dxa"/>
            <w:shd w:val="clear" w:color="auto" w:fill="EAF7F4"/>
          </w:tcPr>
          <w:p w14:paraId="5AF34DE1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A Activity</w:t>
            </w:r>
          </w:p>
        </w:tc>
        <w:tc>
          <w:tcPr>
            <w:tcW w:w="4917" w:type="dxa"/>
          </w:tcPr>
          <w:p w14:paraId="6A202B8B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活跃地址、新增地址、交互频率</w:t>
            </w:r>
          </w:p>
        </w:tc>
      </w:tr>
      <w:tr w14:paraId="1B68B127">
        <w:trPr>
          <w:jc w:val="center"/>
        </w:trPr>
        <w:tc>
          <w:tcPr>
            <w:tcW w:w="4917" w:type="dxa"/>
            <w:shd w:val="clear" w:color="auto" w:fill="EAF7F4"/>
          </w:tcPr>
          <w:p w14:paraId="10183287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C Confirmation</w:t>
            </w:r>
          </w:p>
        </w:tc>
        <w:tc>
          <w:tcPr>
            <w:tcW w:w="4917" w:type="dxa"/>
          </w:tcPr>
          <w:p w14:paraId="2B74419B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跨数据源与历史结构确认</w:t>
            </w:r>
          </w:p>
        </w:tc>
      </w:tr>
      <w:tr w14:paraId="289C0AAD">
        <w:trPr>
          <w:jc w:val="center"/>
        </w:trPr>
        <w:tc>
          <w:tcPr>
            <w:tcW w:w="4917" w:type="dxa"/>
            <w:shd w:val="clear" w:color="auto" w:fill="EAF7F4"/>
          </w:tcPr>
          <w:p w14:paraId="153D986F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R Risk Penalty</w:t>
            </w:r>
          </w:p>
        </w:tc>
        <w:tc>
          <w:tcPr>
            <w:tcW w:w="4917" w:type="dxa"/>
          </w:tcPr>
          <w:p w14:paraId="279C71A3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集中度、异常成交、低流动性、数据风险</w:t>
            </w:r>
          </w:p>
        </w:tc>
      </w:tr>
    </w:tbl>
    <w:p w14:paraId="031711D1">
      <w:r>
        <w:rPr>
          <w:rFonts w:ascii="Heiti SC" w:hAnsi="Heiti SC" w:eastAsia="Heiti SC" w:cs="Heiti SC"/>
        </w:rPr>
        <w:br w:type="page"/>
      </w:r>
    </w:p>
    <w:p w14:paraId="62CB9A85">
      <w:r>
        <w:rPr>
          <w:rFonts w:ascii="Heiti SC" w:hAnsi="Heiti SC" w:eastAsia="Heiti SC" w:cs="Heiti SC"/>
          <w:b/>
          <w:color w:val="31D89A"/>
          <w:sz w:val="22"/>
        </w:rPr>
        <w:t xml:space="preserve">05  </w:t>
      </w:r>
      <w:r>
        <w:rPr>
          <w:rFonts w:ascii="Heiti SC" w:hAnsi="Heiti SC" w:eastAsia="Heiti SC" w:cs="Heiti SC"/>
          <w:b/>
          <w:color w:val="071522"/>
          <w:sz w:val="40"/>
        </w:rPr>
        <w:t>Evidence Engine</w:t>
      </w:r>
    </w:p>
    <w:p w14:paraId="33BE43C1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让每一个“为什么涨”都能回到证据</w:t>
      </w:r>
    </w:p>
    <w:p w14:paraId="277D2787">
      <w:pPr>
        <w:spacing w:after="100" w:line="283" w:lineRule="auto"/>
      </w:pPr>
      <w:r>
        <w:rPr>
          <w:rFonts w:ascii="Heiti SC" w:hAnsi="Heiti SC" w:eastAsia="Heiti SC" w:cs="Heiti SC"/>
          <w:b w:val="0"/>
          <w:color w:val="172636"/>
          <w:sz w:val="20"/>
        </w:rPr>
        <w:t>AI 输出必须引用系统已经计算出的证据，不能凭空制造原因。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4918"/>
      </w:tblGrid>
      <w:tr w14:paraId="2C4A6A2E">
        <w:trPr>
          <w:jc w:val="center"/>
        </w:trPr>
        <w:tc>
          <w:tcPr>
            <w:tcW w:w="4917" w:type="dxa"/>
            <w:shd w:val="clear" w:color="auto" w:fill="071522"/>
          </w:tcPr>
          <w:p w14:paraId="34157D5F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项目</w:t>
            </w:r>
          </w:p>
        </w:tc>
        <w:tc>
          <w:tcPr>
            <w:tcW w:w="4917" w:type="dxa"/>
            <w:shd w:val="clear" w:color="auto" w:fill="071522"/>
          </w:tcPr>
          <w:p w14:paraId="075364AB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说明</w:t>
            </w:r>
          </w:p>
        </w:tc>
      </w:tr>
      <w:tr w14:paraId="1683FCCB">
        <w:trPr>
          <w:jc w:val="center"/>
        </w:trPr>
        <w:tc>
          <w:tcPr>
            <w:tcW w:w="4917" w:type="dxa"/>
            <w:shd w:val="clear" w:color="auto" w:fill="EAF7F4"/>
          </w:tcPr>
          <w:p w14:paraId="0EBA4748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Claim</w:t>
            </w:r>
          </w:p>
        </w:tc>
        <w:tc>
          <w:tcPr>
            <w:tcW w:w="4917" w:type="dxa"/>
          </w:tcPr>
          <w:p w14:paraId="1310D936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资金与成交正在同步增强</w:t>
            </w:r>
          </w:p>
        </w:tc>
      </w:tr>
      <w:tr w14:paraId="37930A0C">
        <w:trPr>
          <w:jc w:val="center"/>
        </w:trPr>
        <w:tc>
          <w:tcPr>
            <w:tcW w:w="4917" w:type="dxa"/>
            <w:shd w:val="clear" w:color="auto" w:fill="EAF7F4"/>
          </w:tcPr>
          <w:p w14:paraId="0E58022F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Evidence A</w:t>
            </w:r>
          </w:p>
        </w:tc>
        <w:tc>
          <w:tcPr>
            <w:tcW w:w="4917" w:type="dxa"/>
          </w:tcPr>
          <w:p w14:paraId="69C4D190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短周期成交量明显高于历史基线</w:t>
            </w:r>
          </w:p>
        </w:tc>
      </w:tr>
      <w:tr w14:paraId="57153823">
        <w:trPr>
          <w:jc w:val="center"/>
        </w:trPr>
        <w:tc>
          <w:tcPr>
            <w:tcW w:w="4917" w:type="dxa"/>
            <w:shd w:val="clear" w:color="auto" w:fill="EAF7F4"/>
          </w:tcPr>
          <w:p w14:paraId="67B076A1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Evidence B</w:t>
            </w:r>
          </w:p>
        </w:tc>
        <w:tc>
          <w:tcPr>
            <w:tcW w:w="4917" w:type="dxa"/>
          </w:tcPr>
          <w:p w14:paraId="08604C88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DEX 流动性净增加，池深改善</w:t>
            </w:r>
          </w:p>
        </w:tc>
      </w:tr>
      <w:tr w14:paraId="174E35AF">
        <w:trPr>
          <w:jc w:val="center"/>
        </w:trPr>
        <w:tc>
          <w:tcPr>
            <w:tcW w:w="4917" w:type="dxa"/>
            <w:shd w:val="clear" w:color="auto" w:fill="EAF7F4"/>
          </w:tcPr>
          <w:p w14:paraId="398FA062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Evidence C</w:t>
            </w:r>
          </w:p>
        </w:tc>
        <w:tc>
          <w:tcPr>
            <w:tcW w:w="4917" w:type="dxa"/>
          </w:tcPr>
          <w:p w14:paraId="418F00EC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活跃地址与净买入地址同步上升</w:t>
            </w:r>
          </w:p>
        </w:tc>
      </w:tr>
      <w:tr w14:paraId="56B553B2">
        <w:trPr>
          <w:jc w:val="center"/>
        </w:trPr>
        <w:tc>
          <w:tcPr>
            <w:tcW w:w="4917" w:type="dxa"/>
            <w:shd w:val="clear" w:color="auto" w:fill="EAF7F4"/>
          </w:tcPr>
          <w:p w14:paraId="345B7178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Evidence D</w:t>
            </w:r>
          </w:p>
        </w:tc>
        <w:tc>
          <w:tcPr>
            <w:tcW w:w="4917" w:type="dxa"/>
          </w:tcPr>
          <w:p w14:paraId="7B260E02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大额 Swap 方向偏净买入</w:t>
            </w:r>
          </w:p>
        </w:tc>
      </w:tr>
      <w:tr w14:paraId="105DD893">
        <w:trPr>
          <w:jc w:val="center"/>
        </w:trPr>
        <w:tc>
          <w:tcPr>
            <w:tcW w:w="4917" w:type="dxa"/>
            <w:shd w:val="clear" w:color="auto" w:fill="EAF7F4"/>
          </w:tcPr>
          <w:p w14:paraId="76902CD1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Output</w:t>
            </w:r>
          </w:p>
        </w:tc>
        <w:tc>
          <w:tcPr>
            <w:tcW w:w="4917" w:type="dxa"/>
          </w:tcPr>
          <w:p w14:paraId="6D2E6DE0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自然语言解释 + 时间戳 + 数据来源 + 触发规则</w:t>
            </w:r>
          </w:p>
        </w:tc>
      </w:tr>
      <w:tr w14:paraId="4AF879E2">
        <w:tc>
          <w:tcPr>
            <w:tcW w:w="9835" w:type="dxa"/>
            <w:gridSpan w:val="2"/>
            <w:shd w:val="clear" w:color="auto" w:fill="F1F8F7"/>
          </w:tcPr>
          <w:p w14:paraId="32281F0D">
            <w:r>
              <w:rPr>
                <w:rFonts w:ascii="Heiti SC" w:hAnsi="Heiti SC" w:eastAsia="Heiti SC" w:cs="Heiti SC"/>
                <w:b/>
                <w:color w:val="31D89A"/>
                <w:sz w:val="22"/>
              </w:rPr>
              <w:t>Evidence-first AI</w:t>
            </w:r>
          </w:p>
          <w:p w14:paraId="7CE2A36C">
            <w:r>
              <w:rPr>
                <w:rFonts w:ascii="Heiti SC" w:hAnsi="Heiti SC" w:eastAsia="Heiti SC" w:cs="Heiti SC"/>
                <w:b w:val="0"/>
                <w:color w:val="172636"/>
                <w:sz w:val="18"/>
              </w:rPr>
              <w:t>每一个“为什么涨”都必须能回答：数据来自哪里、什么时候发生、变化有多大、为什么触发。</w:t>
            </w:r>
          </w:p>
        </w:tc>
      </w:tr>
    </w:tbl>
    <w:p w14:paraId="14D28CCA">
      <w:r>
        <w:rPr>
          <w:rFonts w:ascii="Heiti SC" w:hAnsi="Heiti SC" w:eastAsia="Heiti SC" w:cs="Heiti SC"/>
        </w:rPr>
        <w:br w:type="page"/>
      </w:r>
    </w:p>
    <w:p w14:paraId="60DDD042">
      <w:r>
        <w:rPr>
          <w:rFonts w:ascii="Heiti SC" w:hAnsi="Heiti SC" w:eastAsia="Heiti SC" w:cs="Heiti SC"/>
          <w:b/>
          <w:color w:val="31D89A"/>
          <w:sz w:val="22"/>
        </w:rPr>
        <w:t xml:space="preserve">06  </w:t>
      </w:r>
      <w:r>
        <w:rPr>
          <w:rFonts w:ascii="Heiti SC" w:hAnsi="Heiti SC" w:eastAsia="Heiti SC" w:cs="Heiti SC"/>
          <w:b/>
          <w:color w:val="071522"/>
          <w:sz w:val="40"/>
        </w:rPr>
        <w:t>Risk Engine</w:t>
      </w:r>
    </w:p>
    <w:p w14:paraId="6C42372B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机会和风险必须分开计算</w:t>
      </w:r>
    </w:p>
    <w:p w14:paraId="70043082">
      <w:pPr>
        <w:spacing w:after="100" w:line="283" w:lineRule="auto"/>
      </w:pPr>
      <w:r>
        <w:rPr>
          <w:rFonts w:ascii="Heiti SC" w:hAnsi="Heiti SC" w:eastAsia="Heiti SC" w:cs="Heiti SC"/>
          <w:b w:val="0"/>
          <w:color w:val="172636"/>
          <w:sz w:val="20"/>
        </w:rPr>
        <w:t>高 Radar Score 不等于低风险。Turbo Radar 可以同时显示“机会强度高 / 风险高”，避免把单一分数包装成确定性结论。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4917"/>
      </w:tblGrid>
      <w:tr w14:paraId="3D34CFFA">
        <w:trPr>
          <w:jc w:val="center"/>
        </w:trPr>
        <w:tc>
          <w:tcPr>
            <w:tcW w:w="4917" w:type="dxa"/>
            <w:shd w:val="clear" w:color="auto" w:fill="071522"/>
          </w:tcPr>
          <w:p w14:paraId="3ED57AD3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项目</w:t>
            </w:r>
          </w:p>
        </w:tc>
        <w:tc>
          <w:tcPr>
            <w:tcW w:w="4917" w:type="dxa"/>
            <w:shd w:val="clear" w:color="auto" w:fill="071522"/>
          </w:tcPr>
          <w:p w14:paraId="0C77E4D3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说明</w:t>
            </w:r>
          </w:p>
        </w:tc>
      </w:tr>
      <w:tr w14:paraId="64D5E112">
        <w:trPr>
          <w:jc w:val="center"/>
        </w:trPr>
        <w:tc>
          <w:tcPr>
            <w:tcW w:w="4917" w:type="dxa"/>
            <w:shd w:val="clear" w:color="auto" w:fill="EAF7F4"/>
          </w:tcPr>
          <w:p w14:paraId="3A861ED1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Liquidity Risk</w:t>
            </w:r>
          </w:p>
        </w:tc>
        <w:tc>
          <w:tcPr>
            <w:tcW w:w="4917" w:type="dxa"/>
          </w:tcPr>
          <w:p w14:paraId="48124FBA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池深、滑点、LP 撤出、可交易深度</w:t>
            </w:r>
          </w:p>
        </w:tc>
      </w:tr>
      <w:tr w14:paraId="08627200">
        <w:trPr>
          <w:jc w:val="center"/>
        </w:trPr>
        <w:tc>
          <w:tcPr>
            <w:tcW w:w="4917" w:type="dxa"/>
            <w:shd w:val="clear" w:color="auto" w:fill="EAF7F4"/>
          </w:tcPr>
          <w:p w14:paraId="63463B54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Concentration Risk</w:t>
            </w:r>
          </w:p>
        </w:tc>
        <w:tc>
          <w:tcPr>
            <w:tcW w:w="4917" w:type="dxa"/>
          </w:tcPr>
          <w:p w14:paraId="4C4990E9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Top holders、关联地址、单地址集中</w:t>
            </w:r>
          </w:p>
        </w:tc>
      </w:tr>
      <w:tr w14:paraId="2D020B51">
        <w:trPr>
          <w:jc w:val="center"/>
        </w:trPr>
        <w:tc>
          <w:tcPr>
            <w:tcW w:w="4917" w:type="dxa"/>
            <w:shd w:val="clear" w:color="auto" w:fill="EAF7F4"/>
          </w:tcPr>
          <w:p w14:paraId="121C2EC8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Market Risk</w:t>
            </w:r>
          </w:p>
        </w:tc>
        <w:tc>
          <w:tcPr>
            <w:tcW w:w="4917" w:type="dxa"/>
          </w:tcPr>
          <w:p w14:paraId="40924B52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短时波动、价差、成交异常</w:t>
            </w:r>
          </w:p>
        </w:tc>
      </w:tr>
      <w:tr w14:paraId="64AE14CA">
        <w:trPr>
          <w:jc w:val="center"/>
        </w:trPr>
        <w:tc>
          <w:tcPr>
            <w:tcW w:w="4917" w:type="dxa"/>
            <w:shd w:val="clear" w:color="auto" w:fill="EAF7F4"/>
          </w:tcPr>
          <w:p w14:paraId="359A71E5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Behavior Risk</w:t>
            </w:r>
          </w:p>
        </w:tc>
        <w:tc>
          <w:tcPr>
            <w:tcW w:w="4917" w:type="dxa"/>
          </w:tcPr>
          <w:p w14:paraId="343241C7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异常转账、循环交易、地址爆发</w:t>
            </w:r>
          </w:p>
        </w:tc>
      </w:tr>
      <w:tr w14:paraId="02868E95">
        <w:trPr>
          <w:jc w:val="center"/>
        </w:trPr>
        <w:tc>
          <w:tcPr>
            <w:tcW w:w="4917" w:type="dxa"/>
            <w:shd w:val="clear" w:color="auto" w:fill="EAF7F4"/>
          </w:tcPr>
          <w:p w14:paraId="559A4C00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Contract Risk</w:t>
            </w:r>
          </w:p>
        </w:tc>
        <w:tc>
          <w:tcPr>
            <w:tcW w:w="4917" w:type="dxa"/>
          </w:tcPr>
          <w:p w14:paraId="7BBC202D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权限、配置、可检测合约风险</w:t>
            </w:r>
          </w:p>
        </w:tc>
      </w:tr>
      <w:tr w14:paraId="68C0F802">
        <w:trPr>
          <w:jc w:val="center"/>
        </w:trPr>
        <w:tc>
          <w:tcPr>
            <w:tcW w:w="4917" w:type="dxa"/>
            <w:shd w:val="clear" w:color="auto" w:fill="EAF7F4"/>
          </w:tcPr>
          <w:p w14:paraId="58ACA20E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Data Risk</w:t>
            </w:r>
          </w:p>
        </w:tc>
        <w:tc>
          <w:tcPr>
            <w:tcW w:w="4917" w:type="dxa"/>
          </w:tcPr>
          <w:p w14:paraId="2386E782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数据延迟、缺失、源间冲突</w:t>
            </w:r>
          </w:p>
        </w:tc>
      </w:tr>
    </w:tbl>
    <w:p w14:paraId="008C052A">
      <w:r>
        <w:rPr>
          <w:rFonts w:ascii="Heiti SC" w:hAnsi="Heiti SC" w:eastAsia="Heiti SC" w:cs="Heiti SC"/>
        </w:rPr>
        <w:br w:type="page"/>
      </w:r>
    </w:p>
    <w:p w14:paraId="2AE9FADB">
      <w:r>
        <w:rPr>
          <w:rFonts w:ascii="Heiti SC" w:hAnsi="Heiti SC" w:eastAsia="Heiti SC" w:cs="Heiti SC"/>
          <w:b/>
          <w:color w:val="31D89A"/>
          <w:sz w:val="22"/>
        </w:rPr>
        <w:t xml:space="preserve">07  </w:t>
      </w:r>
      <w:r>
        <w:rPr>
          <w:rFonts w:ascii="Heiti SC" w:hAnsi="Heiti SC" w:eastAsia="Heiti SC" w:cs="Heiti SC"/>
          <w:b/>
          <w:color w:val="071522"/>
          <w:sz w:val="40"/>
        </w:rPr>
        <w:t>Institutional Platform</w:t>
      </w:r>
    </w:p>
    <w:p w14:paraId="4DBB8E90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Turbo Radar Institutional</w:t>
      </w:r>
    </w:p>
    <w:p w14:paraId="5FDE51DC">
      <w:pPr>
        <w:spacing w:after="100" w:line="283" w:lineRule="auto"/>
      </w:pPr>
      <w:r>
        <w:rPr>
          <w:rFonts w:ascii="Heiti SC" w:hAnsi="Heiti SC" w:eastAsia="Heiti SC" w:cs="Heiti SC"/>
          <w:b w:val="0"/>
          <w:color w:val="172636"/>
          <w:sz w:val="20"/>
        </w:rPr>
        <w:t>机构版的价值不是告诉机构买什么，而是减少数据工程成本、提升异常发现速度，并提供统一、可解释的数据层。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4917"/>
      </w:tblGrid>
      <w:tr w14:paraId="20DD735D">
        <w:trPr>
          <w:jc w:val="center"/>
        </w:trPr>
        <w:tc>
          <w:tcPr>
            <w:tcW w:w="4917" w:type="dxa"/>
            <w:shd w:val="clear" w:color="auto" w:fill="071522"/>
          </w:tcPr>
          <w:p w14:paraId="2D3D035C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项目</w:t>
            </w:r>
          </w:p>
        </w:tc>
        <w:tc>
          <w:tcPr>
            <w:tcW w:w="4917" w:type="dxa"/>
            <w:shd w:val="clear" w:color="auto" w:fill="071522"/>
          </w:tcPr>
          <w:p w14:paraId="5714A092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说明</w:t>
            </w:r>
          </w:p>
        </w:tc>
      </w:tr>
      <w:tr w14:paraId="6AEF0003">
        <w:trPr>
          <w:jc w:val="center"/>
        </w:trPr>
        <w:tc>
          <w:tcPr>
            <w:tcW w:w="4917" w:type="dxa"/>
            <w:shd w:val="clear" w:color="auto" w:fill="EAF7F4"/>
          </w:tcPr>
          <w:p w14:paraId="1D969A17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Institutional Dashboard</w:t>
            </w:r>
          </w:p>
        </w:tc>
        <w:tc>
          <w:tcPr>
            <w:tcW w:w="4917" w:type="dxa"/>
          </w:tcPr>
          <w:p w14:paraId="630FF40F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多资产、多钱包、多策略统一监控</w:t>
            </w:r>
          </w:p>
        </w:tc>
      </w:tr>
      <w:tr w14:paraId="6F6CFDFB">
        <w:trPr>
          <w:jc w:val="center"/>
        </w:trPr>
        <w:tc>
          <w:tcPr>
            <w:tcW w:w="4917" w:type="dxa"/>
            <w:shd w:val="clear" w:color="auto" w:fill="EAF7F4"/>
          </w:tcPr>
          <w:p w14:paraId="1E2EC8C0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Data API</w:t>
            </w:r>
          </w:p>
        </w:tc>
        <w:tc>
          <w:tcPr>
            <w:tcW w:w="4917" w:type="dxa"/>
          </w:tcPr>
          <w:p w14:paraId="600522CD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标准化市场、链上、DEX 与风险数据</w:t>
            </w:r>
          </w:p>
        </w:tc>
      </w:tr>
      <w:tr w14:paraId="53BC399F">
        <w:trPr>
          <w:jc w:val="center"/>
        </w:trPr>
        <w:tc>
          <w:tcPr>
            <w:tcW w:w="4917" w:type="dxa"/>
            <w:shd w:val="clear" w:color="auto" w:fill="EAF7F4"/>
          </w:tcPr>
          <w:p w14:paraId="0AA60586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Signal API</w:t>
            </w:r>
          </w:p>
        </w:tc>
        <w:tc>
          <w:tcPr>
            <w:tcW w:w="4917" w:type="dxa"/>
          </w:tcPr>
          <w:p w14:paraId="112EF1EE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阶段、评分、触发原因与证据</w:t>
            </w:r>
          </w:p>
        </w:tc>
      </w:tr>
      <w:tr w14:paraId="4B7EC0C6">
        <w:trPr>
          <w:jc w:val="center"/>
        </w:trPr>
        <w:tc>
          <w:tcPr>
            <w:tcW w:w="4917" w:type="dxa"/>
            <w:shd w:val="clear" w:color="auto" w:fill="EAF7F4"/>
          </w:tcPr>
          <w:p w14:paraId="74A3FF03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Webhook Alerts</w:t>
            </w:r>
          </w:p>
        </w:tc>
        <w:tc>
          <w:tcPr>
            <w:tcW w:w="4917" w:type="dxa"/>
          </w:tcPr>
          <w:p w14:paraId="1D025178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自定义事件和阈值推送</w:t>
            </w:r>
          </w:p>
        </w:tc>
      </w:tr>
      <w:tr w14:paraId="577CAE66">
        <w:trPr>
          <w:jc w:val="center"/>
        </w:trPr>
        <w:tc>
          <w:tcPr>
            <w:tcW w:w="4917" w:type="dxa"/>
            <w:shd w:val="clear" w:color="auto" w:fill="EAF7F4"/>
          </w:tcPr>
          <w:p w14:paraId="46014350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Historical Export</w:t>
            </w:r>
          </w:p>
        </w:tc>
        <w:tc>
          <w:tcPr>
            <w:tcW w:w="4917" w:type="dxa"/>
          </w:tcPr>
          <w:p w14:paraId="4018B892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历史信号、证据与结果数据</w:t>
            </w:r>
          </w:p>
        </w:tc>
      </w:tr>
      <w:tr w14:paraId="0FC5B3FB">
        <w:trPr>
          <w:jc w:val="center"/>
        </w:trPr>
        <w:tc>
          <w:tcPr>
            <w:tcW w:w="4917" w:type="dxa"/>
            <w:shd w:val="clear" w:color="auto" w:fill="EAF7F4"/>
          </w:tcPr>
          <w:p w14:paraId="43D4E316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Custom Radar</w:t>
            </w:r>
          </w:p>
        </w:tc>
        <w:tc>
          <w:tcPr>
            <w:tcW w:w="4917" w:type="dxa"/>
          </w:tcPr>
          <w:p w14:paraId="670E46FC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按团队需求配置专属雷达</w:t>
            </w:r>
          </w:p>
        </w:tc>
      </w:tr>
    </w:tbl>
    <w:p w14:paraId="153E1577">
      <w:r>
        <w:rPr>
          <w:rFonts w:ascii="Heiti SC" w:hAnsi="Heiti SC" w:eastAsia="Heiti SC" w:cs="Heiti SC"/>
        </w:rPr>
        <w:br w:type="page"/>
      </w:r>
    </w:p>
    <w:p w14:paraId="15A52F75">
      <w:r>
        <w:rPr>
          <w:rFonts w:ascii="Heiti SC" w:hAnsi="Heiti SC" w:eastAsia="Heiti SC" w:cs="Heiti SC"/>
          <w:b/>
          <w:color w:val="31D89A"/>
          <w:sz w:val="22"/>
        </w:rPr>
        <w:t xml:space="preserve">08  </w:t>
      </w:r>
      <w:r>
        <w:rPr>
          <w:rFonts w:ascii="Heiti SC" w:hAnsi="Heiti SC" w:eastAsia="Heiti SC" w:cs="Heiti SC"/>
          <w:b/>
          <w:color w:val="071522"/>
          <w:sz w:val="40"/>
        </w:rPr>
        <w:t>Partnership Framework</w:t>
      </w:r>
    </w:p>
    <w:p w14:paraId="15BB7785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机构合作必须可验证</w:t>
      </w:r>
    </w:p>
    <w:p w14:paraId="2A18C1A3">
      <w:pPr>
        <w:spacing w:after="100" w:line="283" w:lineRule="auto"/>
      </w:pPr>
      <w:r>
        <w:rPr>
          <w:rFonts w:ascii="Heiti SC" w:hAnsi="Heiti SC" w:eastAsia="Heiti SC" w:cs="Heiti SC"/>
          <w:b w:val="0"/>
          <w:color w:val="172636"/>
          <w:sz w:val="20"/>
        </w:rPr>
        <w:t>技术供应商、数据来源和正式商业合作必须分开披露。没有正式授权，不使用“战略合作伙伴”字样。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4917"/>
      </w:tblGrid>
      <w:tr w14:paraId="02B5B0FE">
        <w:trPr>
          <w:jc w:val="center"/>
        </w:trPr>
        <w:tc>
          <w:tcPr>
            <w:tcW w:w="4917" w:type="dxa"/>
            <w:shd w:val="clear" w:color="auto" w:fill="071522"/>
          </w:tcPr>
          <w:p w14:paraId="60531AE3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项目</w:t>
            </w:r>
          </w:p>
        </w:tc>
        <w:tc>
          <w:tcPr>
            <w:tcW w:w="4917" w:type="dxa"/>
            <w:shd w:val="clear" w:color="auto" w:fill="071522"/>
          </w:tcPr>
          <w:p w14:paraId="3BDBB42F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说明</w:t>
            </w:r>
          </w:p>
        </w:tc>
      </w:tr>
      <w:tr w14:paraId="1C7F1439">
        <w:trPr>
          <w:jc w:val="center"/>
        </w:trPr>
        <w:tc>
          <w:tcPr>
            <w:tcW w:w="4917" w:type="dxa"/>
            <w:shd w:val="clear" w:color="auto" w:fill="EAF7F4"/>
          </w:tcPr>
          <w:p w14:paraId="0D676890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Tier A - Official Partner</w:t>
            </w:r>
          </w:p>
        </w:tc>
        <w:tc>
          <w:tcPr>
            <w:tcW w:w="4917" w:type="dxa"/>
          </w:tcPr>
          <w:p w14:paraId="6D108A86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签署合同/双方授权</w:t>
            </w:r>
          </w:p>
        </w:tc>
      </w:tr>
      <w:tr w14:paraId="4CA08A9E">
        <w:trPr>
          <w:jc w:val="center"/>
        </w:trPr>
        <w:tc>
          <w:tcPr>
            <w:tcW w:w="4917" w:type="dxa"/>
            <w:shd w:val="clear" w:color="auto" w:fill="EAF7F4"/>
          </w:tcPr>
          <w:p w14:paraId="72C1290C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Tier B - Technology Integration</w:t>
            </w:r>
          </w:p>
        </w:tc>
        <w:tc>
          <w:tcPr>
            <w:tcW w:w="4917" w:type="dxa"/>
          </w:tcPr>
          <w:p w14:paraId="2869533F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真实接入 API / RPC / SDK</w:t>
            </w:r>
          </w:p>
        </w:tc>
      </w:tr>
      <w:tr w14:paraId="07BC5AAD">
        <w:trPr>
          <w:jc w:val="center"/>
        </w:trPr>
        <w:tc>
          <w:tcPr>
            <w:tcW w:w="4917" w:type="dxa"/>
            <w:shd w:val="clear" w:color="auto" w:fill="EAF7F4"/>
          </w:tcPr>
          <w:p w14:paraId="47DA99A4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Tier C - Data Source</w:t>
            </w:r>
          </w:p>
        </w:tc>
        <w:tc>
          <w:tcPr>
            <w:tcW w:w="4917" w:type="dxa"/>
          </w:tcPr>
          <w:p w14:paraId="5C73024D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公开或授权数据来源</w:t>
            </w:r>
          </w:p>
        </w:tc>
      </w:tr>
      <w:tr w14:paraId="541E1360">
        <w:trPr>
          <w:jc w:val="center"/>
        </w:trPr>
        <w:tc>
          <w:tcPr>
            <w:tcW w:w="4917" w:type="dxa"/>
            <w:shd w:val="clear" w:color="auto" w:fill="EAF7F4"/>
          </w:tcPr>
          <w:p w14:paraId="7C68B486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Tier D - Target Ecosystem</w:t>
            </w:r>
          </w:p>
        </w:tc>
        <w:tc>
          <w:tcPr>
            <w:tcW w:w="4917" w:type="dxa"/>
          </w:tcPr>
          <w:p w14:paraId="165F3D0D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计划接洽的生态方向</w:t>
            </w:r>
          </w:p>
        </w:tc>
      </w:tr>
    </w:tbl>
    <w:p w14:paraId="0D9996F9">
      <w:r>
        <w:rPr>
          <w:rFonts w:ascii="Heiti SC" w:hAnsi="Heiti SC" w:eastAsia="Heiti SC" w:cs="Heiti SC"/>
        </w:rPr>
        <w:br w:type="page"/>
      </w:r>
    </w:p>
    <w:p w14:paraId="09C14C75">
      <w:r>
        <w:rPr>
          <w:rFonts w:ascii="Heiti SC" w:hAnsi="Heiti SC" w:eastAsia="Heiti SC" w:cs="Heiti SC"/>
          <w:b/>
          <w:color w:val="31D89A"/>
          <w:sz w:val="22"/>
        </w:rPr>
        <w:t xml:space="preserve">09  </w:t>
      </w:r>
      <w:r>
        <w:rPr>
          <w:rFonts w:ascii="Heiti SC" w:hAnsi="Heiti SC" w:eastAsia="Heiti SC" w:cs="Heiti SC"/>
          <w:b/>
          <w:color w:val="071522"/>
          <w:sz w:val="40"/>
        </w:rPr>
        <w:t>NVB Utility Layer</w:t>
      </w:r>
    </w:p>
    <w:p w14:paraId="56A27A1D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NVB — Access Pass to Turbo Radar</w:t>
      </w:r>
    </w:p>
    <w:p w14:paraId="60C8455D">
      <w:pPr>
        <w:spacing w:after="100" w:line="283" w:lineRule="auto"/>
      </w:pPr>
      <w:r>
        <w:rPr>
          <w:rFonts w:ascii="Heiti SC" w:hAnsi="Heiti SC" w:eastAsia="Heiti SC" w:cs="Heiti SC"/>
          <w:b w:val="0"/>
          <w:color w:val="172636"/>
          <w:sz w:val="20"/>
        </w:rPr>
        <w:t>持有或使用 NVB，可按已公布且已上线的权限规则解锁高级 Radar、AI 深度分析、实时预警、历史数据、API Credits 与更高等级权限。目前 NVB 权限校验与付费解锁尚未开放；持币不会自动获得高级权限。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4918"/>
      </w:tblGrid>
      <w:tr w14:paraId="257A1995">
        <w:trPr>
          <w:jc w:val="center"/>
        </w:trPr>
        <w:tc>
          <w:tcPr>
            <w:tcW w:w="4917" w:type="dxa"/>
            <w:shd w:val="clear" w:color="auto" w:fill="071522"/>
          </w:tcPr>
          <w:p w14:paraId="2C268071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项目</w:t>
            </w:r>
          </w:p>
        </w:tc>
        <w:tc>
          <w:tcPr>
            <w:tcW w:w="4917" w:type="dxa"/>
            <w:shd w:val="clear" w:color="auto" w:fill="071522"/>
          </w:tcPr>
          <w:p w14:paraId="5A7E9E3E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说明</w:t>
            </w:r>
          </w:p>
        </w:tc>
      </w:tr>
      <w:tr w14:paraId="08FA069F">
        <w:trPr>
          <w:jc w:val="center"/>
        </w:trPr>
        <w:tc>
          <w:tcPr>
            <w:tcW w:w="4917" w:type="dxa"/>
            <w:shd w:val="clear" w:color="auto" w:fill="EAF7F4"/>
          </w:tcPr>
          <w:p w14:paraId="4F765E86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Access</w:t>
            </w:r>
          </w:p>
        </w:tc>
        <w:tc>
          <w:tcPr>
            <w:tcW w:w="4917" w:type="dxa"/>
          </w:tcPr>
          <w:p w14:paraId="144A0977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开通 Radar Pro / Turbo / Institutional</w:t>
            </w:r>
          </w:p>
        </w:tc>
      </w:tr>
      <w:tr w14:paraId="0E0EE6B0">
        <w:trPr>
          <w:jc w:val="center"/>
        </w:trPr>
        <w:tc>
          <w:tcPr>
            <w:tcW w:w="4917" w:type="dxa"/>
            <w:shd w:val="clear" w:color="auto" w:fill="EAF7F4"/>
          </w:tcPr>
          <w:p w14:paraId="127061BD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AI Usage</w:t>
            </w:r>
          </w:p>
        </w:tc>
        <w:tc>
          <w:tcPr>
            <w:tcW w:w="4917" w:type="dxa"/>
          </w:tcPr>
          <w:p w14:paraId="15320122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深度解释、历史分析、特殊扫描</w:t>
            </w:r>
          </w:p>
        </w:tc>
      </w:tr>
      <w:tr w14:paraId="295CA990">
        <w:trPr>
          <w:jc w:val="center"/>
        </w:trPr>
        <w:tc>
          <w:tcPr>
            <w:tcW w:w="4917" w:type="dxa"/>
            <w:shd w:val="clear" w:color="auto" w:fill="EAF7F4"/>
          </w:tcPr>
          <w:p w14:paraId="25728C1B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Alerts</w:t>
            </w:r>
          </w:p>
        </w:tc>
        <w:tc>
          <w:tcPr>
            <w:tcW w:w="4917" w:type="dxa"/>
          </w:tcPr>
          <w:p w14:paraId="322DF411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高级实时预警与自定义规则</w:t>
            </w:r>
          </w:p>
        </w:tc>
      </w:tr>
      <w:tr w14:paraId="28651D48">
        <w:trPr>
          <w:jc w:val="center"/>
        </w:trPr>
        <w:tc>
          <w:tcPr>
            <w:tcW w:w="4917" w:type="dxa"/>
            <w:shd w:val="clear" w:color="auto" w:fill="EAF7F4"/>
          </w:tcPr>
          <w:p w14:paraId="0F133EB8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API Credits</w:t>
            </w:r>
          </w:p>
        </w:tc>
        <w:tc>
          <w:tcPr>
            <w:tcW w:w="4917" w:type="dxa"/>
          </w:tcPr>
          <w:p w14:paraId="7A233B91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开发者与机构 API 调用额度</w:t>
            </w:r>
          </w:p>
        </w:tc>
      </w:tr>
      <w:tr w14:paraId="249B27AF">
        <w:trPr>
          <w:jc w:val="center"/>
        </w:trPr>
        <w:tc>
          <w:tcPr>
            <w:tcW w:w="4917" w:type="dxa"/>
            <w:shd w:val="clear" w:color="auto" w:fill="EAF7F4"/>
          </w:tcPr>
          <w:p w14:paraId="42E3D026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Data Products</w:t>
            </w:r>
          </w:p>
        </w:tc>
        <w:tc>
          <w:tcPr>
            <w:tcW w:w="4917" w:type="dxa"/>
          </w:tcPr>
          <w:p w14:paraId="776B8EC4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历史数据、研究导出、专业数据包</w:t>
            </w:r>
          </w:p>
        </w:tc>
      </w:tr>
      <w:tr w14:paraId="717A4728">
        <w:trPr>
          <w:jc w:val="center"/>
        </w:trPr>
        <w:tc>
          <w:tcPr>
            <w:tcW w:w="4917" w:type="dxa"/>
            <w:shd w:val="clear" w:color="auto" w:fill="EAF7F4"/>
          </w:tcPr>
          <w:p w14:paraId="7C5A36E1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Ecosystem Settlement</w:t>
            </w:r>
          </w:p>
        </w:tc>
        <w:tc>
          <w:tcPr>
            <w:tcW w:w="4917" w:type="dxa"/>
          </w:tcPr>
          <w:p w14:paraId="49200404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未来生态合作服务结算</w:t>
            </w:r>
          </w:p>
        </w:tc>
      </w:tr>
      <w:tr w14:paraId="22D0F6AA">
        <w:tc>
          <w:tcPr>
            <w:tcW w:w="9835" w:type="dxa"/>
            <w:gridSpan w:val="2"/>
            <w:shd w:val="clear" w:color="auto" w:fill="F1F8F7"/>
          </w:tcPr>
          <w:p w14:paraId="337B9591">
            <w:r>
              <w:rPr>
                <w:rFonts w:ascii="Heiti SC" w:hAnsi="Heiti SC" w:eastAsia="Heiti SC" w:cs="Heiti SC"/>
                <w:b/>
                <w:color w:val="31D89A"/>
                <w:sz w:val="22"/>
              </w:rPr>
              <w:t>核心原则</w:t>
            </w:r>
          </w:p>
          <w:p w14:paraId="64680367">
            <w:r>
              <w:rPr>
                <w:rFonts w:ascii="Heiti SC" w:hAnsi="Heiti SC" w:eastAsia="Heiti SC" w:cs="Heiti SC"/>
                <w:b w:val="0"/>
                <w:color w:val="172636"/>
                <w:sz w:val="18"/>
              </w:rPr>
              <w:t>NVB 的使用需求来自 Turbo Radar 产品需求，而不是项目方对二级市场价格的承诺。</w:t>
            </w:r>
          </w:p>
        </w:tc>
      </w:tr>
    </w:tbl>
    <w:p w14:paraId="0DF57974">
      <w:r>
        <w:rPr>
          <w:rFonts w:ascii="Heiti SC" w:hAnsi="Heiti SC" w:eastAsia="Heiti SC" w:cs="Heiti SC"/>
        </w:rPr>
        <w:br w:type="page"/>
      </w:r>
    </w:p>
    <w:p w14:paraId="40BD6FF9">
      <w:r>
        <w:rPr>
          <w:rFonts w:ascii="Heiti SC" w:hAnsi="Heiti SC" w:eastAsia="Heiti SC" w:cs="Heiti SC"/>
          <w:b/>
          <w:color w:val="31D89A"/>
          <w:sz w:val="22"/>
        </w:rPr>
        <w:t xml:space="preserve">10  </w:t>
      </w:r>
      <w:r>
        <w:rPr>
          <w:rFonts w:ascii="Heiti SC" w:hAnsi="Heiti SC" w:eastAsia="Heiti SC" w:cs="Heiti SC"/>
          <w:b/>
          <w:color w:val="071522"/>
          <w:sz w:val="40"/>
        </w:rPr>
        <w:t>Token Parameters</w:t>
      </w:r>
    </w:p>
    <w:p w14:paraId="27D8E456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V3.0 基础参数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4917"/>
      </w:tblGrid>
      <w:tr w14:paraId="69CD4238">
        <w:trPr>
          <w:jc w:val="center"/>
        </w:trPr>
        <w:tc>
          <w:tcPr>
            <w:tcW w:w="4917" w:type="dxa"/>
            <w:shd w:val="clear" w:color="auto" w:fill="071522"/>
          </w:tcPr>
          <w:p w14:paraId="6E4963F3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项目</w:t>
            </w:r>
          </w:p>
        </w:tc>
        <w:tc>
          <w:tcPr>
            <w:tcW w:w="4917" w:type="dxa"/>
            <w:shd w:val="clear" w:color="auto" w:fill="071522"/>
          </w:tcPr>
          <w:p w14:paraId="7BA2D30C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说明</w:t>
            </w:r>
          </w:p>
        </w:tc>
      </w:tr>
      <w:tr w14:paraId="1C099986">
        <w:trPr>
          <w:jc w:val="center"/>
        </w:trPr>
        <w:tc>
          <w:tcPr>
            <w:tcW w:w="4917" w:type="dxa"/>
            <w:shd w:val="clear" w:color="auto" w:fill="EAF7F4"/>
          </w:tcPr>
          <w:p w14:paraId="329827D5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Token</w:t>
            </w:r>
          </w:p>
        </w:tc>
        <w:tc>
          <w:tcPr>
            <w:tcW w:w="4917" w:type="dxa"/>
          </w:tcPr>
          <w:p w14:paraId="3240A840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NVB</w:t>
            </w:r>
          </w:p>
        </w:tc>
      </w:tr>
      <w:tr w14:paraId="4F2CFC5F">
        <w:trPr>
          <w:jc w:val="center"/>
        </w:trPr>
        <w:tc>
          <w:tcPr>
            <w:tcW w:w="4917" w:type="dxa"/>
            <w:shd w:val="clear" w:color="auto" w:fill="EAF7F4"/>
          </w:tcPr>
          <w:p w14:paraId="0E8B178E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Network</w:t>
            </w:r>
          </w:p>
        </w:tc>
        <w:tc>
          <w:tcPr>
            <w:tcW w:w="4917" w:type="dxa"/>
          </w:tcPr>
          <w:p w14:paraId="2E15393B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Solana Mainnet</w:t>
            </w:r>
          </w:p>
        </w:tc>
      </w:tr>
      <w:tr w14:paraId="7CF832FF">
        <w:trPr>
          <w:jc w:val="center"/>
        </w:trPr>
        <w:tc>
          <w:tcPr>
            <w:tcW w:w="4917" w:type="dxa"/>
            <w:shd w:val="clear" w:color="auto" w:fill="EAF7F4"/>
          </w:tcPr>
          <w:p w14:paraId="1C929E6B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Maximum Supply</w:t>
            </w:r>
          </w:p>
        </w:tc>
        <w:tc>
          <w:tcPr>
            <w:tcW w:w="4917" w:type="dxa"/>
          </w:tcPr>
          <w:p w14:paraId="5D3B25C8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100,000,000 NVB</w:t>
            </w:r>
          </w:p>
        </w:tc>
      </w:tr>
      <w:tr w14:paraId="2B0F745C">
        <w:trPr>
          <w:jc w:val="center"/>
        </w:trPr>
        <w:tc>
          <w:tcPr>
            <w:tcW w:w="4917" w:type="dxa"/>
            <w:shd w:val="clear" w:color="auto" w:fill="EAF7F4"/>
          </w:tcPr>
          <w:p w14:paraId="5ECB5417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Primary Utility</w:t>
            </w:r>
          </w:p>
        </w:tc>
        <w:tc>
          <w:tcPr>
            <w:tcW w:w="4917" w:type="dxa"/>
          </w:tcPr>
          <w:p w14:paraId="3E6B9489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Radar 访问、功能解锁、API Credits、生态服务</w:t>
            </w:r>
          </w:p>
        </w:tc>
      </w:tr>
      <w:tr w14:paraId="7506337C">
        <w:trPr>
          <w:jc w:val="center"/>
        </w:trPr>
        <w:tc>
          <w:tcPr>
            <w:tcW w:w="4917" w:type="dxa"/>
            <w:shd w:val="clear" w:color="auto" w:fill="EAF7F4"/>
          </w:tcPr>
          <w:p w14:paraId="792F39F0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Market Price</w:t>
            </w:r>
          </w:p>
        </w:tc>
        <w:tc>
          <w:tcPr>
            <w:tcW w:w="4917" w:type="dxa"/>
          </w:tcPr>
          <w:p w14:paraId="3D2866D3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由真实链上市场供需形成</w:t>
            </w:r>
          </w:p>
        </w:tc>
      </w:tr>
      <w:tr w14:paraId="04B25427">
        <w:trPr>
          <w:jc w:val="center"/>
        </w:trPr>
        <w:tc>
          <w:tcPr>
            <w:tcW w:w="4917" w:type="dxa"/>
            <w:shd w:val="clear" w:color="auto" w:fill="EAF7F4"/>
          </w:tcPr>
          <w:p w14:paraId="4D20E45E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Price Promise</w:t>
            </w:r>
          </w:p>
        </w:tc>
        <w:tc>
          <w:tcPr>
            <w:tcW w:w="4917" w:type="dxa"/>
          </w:tcPr>
          <w:p w14:paraId="37AF6DA1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无固定保价、无固定回购、无收益保证</w:t>
            </w:r>
          </w:p>
        </w:tc>
      </w:tr>
    </w:tbl>
    <w:p w14:paraId="4E11859C">
      <w:r>
        <w:rPr>
          <w:rFonts w:ascii="Heiti SC" w:hAnsi="Heiti SC" w:eastAsia="Heiti SC" w:cs="Heiti SC"/>
        </w:rPr>
        <w:br w:type="page"/>
      </w:r>
    </w:p>
    <w:p w14:paraId="2521783E">
      <w:r>
        <w:rPr>
          <w:rFonts w:ascii="Heiti SC" w:hAnsi="Heiti SC" w:eastAsia="Heiti SC" w:cs="Heiti SC"/>
          <w:b/>
          <w:color w:val="31D89A"/>
          <w:sz w:val="22"/>
        </w:rPr>
        <w:t xml:space="preserve">11  </w:t>
      </w:r>
      <w:r>
        <w:rPr>
          <w:rFonts w:ascii="Heiti SC" w:hAnsi="Heiti SC" w:eastAsia="Heiti SC" w:cs="Heiti SC"/>
          <w:b/>
          <w:color w:val="071522"/>
          <w:sz w:val="40"/>
        </w:rPr>
        <w:t>Token Allocation</w:t>
      </w:r>
    </w:p>
    <w:p w14:paraId="15B617CA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建议版 - 正式执行前需完成法律、财务与链上披露</w:t>
      </w:r>
    </w:p>
    <w:p w14:paraId="4FCE9B04">
      <w:pPr>
        <w:spacing w:after="100" w:line="283" w:lineRule="auto"/>
      </w:pPr>
      <w:r>
        <w:rPr>
          <w:rFonts w:ascii="Heiti SC" w:hAnsi="Heiti SC" w:eastAsia="Heiti SC" w:cs="Heiti SC"/>
          <w:b w:val="0"/>
          <w:color w:val="172636"/>
          <w:sz w:val="20"/>
        </w:rPr>
        <w:t>任何已经发行的 NVB 实际持仓必须以链上数据为准。本页是 V3.0 经济模型，不覆盖或虚构现有链上分配。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4917"/>
      </w:tblGrid>
      <w:tr w14:paraId="74D7F153">
        <w:trPr>
          <w:jc w:val="center"/>
        </w:trPr>
        <w:tc>
          <w:tcPr>
            <w:tcW w:w="4917" w:type="dxa"/>
            <w:shd w:val="clear" w:color="auto" w:fill="071522"/>
          </w:tcPr>
          <w:p w14:paraId="5134E3BC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项目</w:t>
            </w:r>
          </w:p>
        </w:tc>
        <w:tc>
          <w:tcPr>
            <w:tcW w:w="4917" w:type="dxa"/>
            <w:shd w:val="clear" w:color="auto" w:fill="071522"/>
          </w:tcPr>
          <w:p w14:paraId="34A106D9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说明</w:t>
            </w:r>
          </w:p>
        </w:tc>
      </w:tr>
      <w:tr w14:paraId="3633B5AF">
        <w:trPr>
          <w:jc w:val="center"/>
        </w:trPr>
        <w:tc>
          <w:tcPr>
            <w:tcW w:w="4917" w:type="dxa"/>
            <w:shd w:val="clear" w:color="auto" w:fill="EAF7F4"/>
          </w:tcPr>
          <w:p w14:paraId="2FD059B0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Ecosystem &amp; Product Rewards</w:t>
            </w:r>
          </w:p>
        </w:tc>
        <w:tc>
          <w:tcPr>
            <w:tcW w:w="4917" w:type="dxa"/>
          </w:tcPr>
          <w:p w14:paraId="51313EA7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30% / 30,000,000</w:t>
            </w:r>
          </w:p>
        </w:tc>
      </w:tr>
      <w:tr w14:paraId="7313E645">
        <w:trPr>
          <w:jc w:val="center"/>
        </w:trPr>
        <w:tc>
          <w:tcPr>
            <w:tcW w:w="4917" w:type="dxa"/>
            <w:shd w:val="clear" w:color="auto" w:fill="EAF7F4"/>
          </w:tcPr>
          <w:p w14:paraId="4C08CE0F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Treasury &amp; Long-term Development</w:t>
            </w:r>
          </w:p>
        </w:tc>
        <w:tc>
          <w:tcPr>
            <w:tcW w:w="4917" w:type="dxa"/>
          </w:tcPr>
          <w:p w14:paraId="7FE633AA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25% / 25,000,000</w:t>
            </w:r>
          </w:p>
        </w:tc>
      </w:tr>
      <w:tr w14:paraId="6B3123D3">
        <w:trPr>
          <w:jc w:val="center"/>
        </w:trPr>
        <w:tc>
          <w:tcPr>
            <w:tcW w:w="4917" w:type="dxa"/>
            <w:shd w:val="clear" w:color="auto" w:fill="EAF7F4"/>
          </w:tcPr>
          <w:p w14:paraId="2C120ECF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Liquidity &amp; Market Operations</w:t>
            </w:r>
          </w:p>
        </w:tc>
        <w:tc>
          <w:tcPr>
            <w:tcW w:w="4917" w:type="dxa"/>
          </w:tcPr>
          <w:p w14:paraId="54FE73DA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15% / 15,000,000</w:t>
            </w:r>
          </w:p>
        </w:tc>
      </w:tr>
      <w:tr w14:paraId="1E762002">
        <w:trPr>
          <w:jc w:val="center"/>
        </w:trPr>
        <w:tc>
          <w:tcPr>
            <w:tcW w:w="4917" w:type="dxa"/>
            <w:shd w:val="clear" w:color="auto" w:fill="EAF7F4"/>
          </w:tcPr>
          <w:p w14:paraId="5B434DCE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Team &amp; Core Contributors</w:t>
            </w:r>
          </w:p>
        </w:tc>
        <w:tc>
          <w:tcPr>
            <w:tcW w:w="4917" w:type="dxa"/>
          </w:tcPr>
          <w:p w14:paraId="0987D764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12% / 12,000,000</w:t>
            </w:r>
          </w:p>
        </w:tc>
      </w:tr>
      <w:tr w14:paraId="2E22CF09">
        <w:trPr>
          <w:jc w:val="center"/>
        </w:trPr>
        <w:tc>
          <w:tcPr>
            <w:tcW w:w="4917" w:type="dxa"/>
            <w:shd w:val="clear" w:color="auto" w:fill="EAF7F4"/>
          </w:tcPr>
          <w:p w14:paraId="0524CCFA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Strategic / Institutional</w:t>
            </w:r>
          </w:p>
        </w:tc>
        <w:tc>
          <w:tcPr>
            <w:tcW w:w="4917" w:type="dxa"/>
          </w:tcPr>
          <w:p w14:paraId="143F0500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10% / 10,000,000</w:t>
            </w:r>
          </w:p>
        </w:tc>
      </w:tr>
      <w:tr w14:paraId="332306F3">
        <w:trPr>
          <w:jc w:val="center"/>
        </w:trPr>
        <w:tc>
          <w:tcPr>
            <w:tcW w:w="4917" w:type="dxa"/>
            <w:shd w:val="clear" w:color="auto" w:fill="EAF7F4"/>
          </w:tcPr>
          <w:p w14:paraId="0A2A76C8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Community / Launch</w:t>
            </w:r>
          </w:p>
        </w:tc>
        <w:tc>
          <w:tcPr>
            <w:tcW w:w="4917" w:type="dxa"/>
          </w:tcPr>
          <w:p w14:paraId="3C8EA4B1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5% / 5,000,000</w:t>
            </w:r>
          </w:p>
        </w:tc>
      </w:tr>
      <w:tr w14:paraId="60FB3D62">
        <w:trPr>
          <w:jc w:val="center"/>
        </w:trPr>
        <w:tc>
          <w:tcPr>
            <w:tcW w:w="4917" w:type="dxa"/>
            <w:shd w:val="clear" w:color="auto" w:fill="EAF7F4"/>
          </w:tcPr>
          <w:p w14:paraId="0672B000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Security / Research Reserve</w:t>
            </w:r>
          </w:p>
        </w:tc>
        <w:tc>
          <w:tcPr>
            <w:tcW w:w="4917" w:type="dxa"/>
          </w:tcPr>
          <w:p w14:paraId="165D7B67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3% / 3,000,000</w:t>
            </w:r>
          </w:p>
        </w:tc>
      </w:tr>
    </w:tbl>
    <w:p w14:paraId="46FA8E26">
      <w:r>
        <w:rPr>
          <w:rFonts w:ascii="Heiti SC" w:hAnsi="Heiti SC" w:eastAsia="Heiti SC" w:cs="Heiti SC"/>
        </w:rPr>
        <w:br w:type="page"/>
      </w:r>
    </w:p>
    <w:p w14:paraId="33D53252">
      <w:r>
        <w:rPr>
          <w:rFonts w:ascii="Heiti SC" w:hAnsi="Heiti SC" w:eastAsia="Heiti SC" w:cs="Heiti SC"/>
          <w:b/>
          <w:color w:val="31D89A"/>
          <w:sz w:val="22"/>
        </w:rPr>
        <w:t xml:space="preserve">12  </w:t>
      </w:r>
      <w:r>
        <w:rPr>
          <w:rFonts w:ascii="Heiti SC" w:hAnsi="Heiti SC" w:eastAsia="Heiti SC" w:cs="Heiti SC"/>
          <w:b/>
          <w:color w:val="071522"/>
          <w:sz w:val="40"/>
        </w:rPr>
        <w:t>Vesting &amp; Transparency</w:t>
      </w:r>
    </w:p>
    <w:p w14:paraId="65D035CA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长期释放纪律</w:t>
      </w:r>
    </w:p>
    <w:p w14:paraId="2F9D4A8A">
      <w:pPr>
        <w:spacing w:after="100" w:line="283" w:lineRule="auto"/>
      </w:pPr>
      <w:bookmarkStart w:id="0" w:name="_GoBack"/>
      <w:bookmarkEnd w:id="0"/>
      <w:r>
        <w:rPr>
          <w:rFonts w:ascii="Heiti SC" w:hAnsi="Heiti SC" w:eastAsia="Heiti SC" w:cs="Heiti SC"/>
          <w:b w:val="0"/>
          <w:color w:val="172636"/>
          <w:sz w:val="20"/>
        </w:rPr>
        <w:t>公开 Treasury 地址、主要锁仓地址、释放计划和重要资金移动记录。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4917"/>
      </w:tblGrid>
      <w:tr w14:paraId="7738F2BF">
        <w:trPr>
          <w:jc w:val="center"/>
        </w:trPr>
        <w:tc>
          <w:tcPr>
            <w:tcW w:w="4917" w:type="dxa"/>
            <w:shd w:val="clear" w:color="auto" w:fill="071522"/>
          </w:tcPr>
          <w:p w14:paraId="544263F7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项目</w:t>
            </w:r>
          </w:p>
        </w:tc>
        <w:tc>
          <w:tcPr>
            <w:tcW w:w="4917" w:type="dxa"/>
            <w:shd w:val="clear" w:color="auto" w:fill="071522"/>
          </w:tcPr>
          <w:p w14:paraId="5D3BAE4E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说明</w:t>
            </w:r>
          </w:p>
        </w:tc>
      </w:tr>
      <w:tr w14:paraId="0C6B9807">
        <w:trPr>
          <w:jc w:val="center"/>
        </w:trPr>
        <w:tc>
          <w:tcPr>
            <w:tcW w:w="4917" w:type="dxa"/>
            <w:shd w:val="clear" w:color="auto" w:fill="EAF7F4"/>
          </w:tcPr>
          <w:p w14:paraId="1E8AC6FA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Team</w:t>
            </w:r>
          </w:p>
        </w:tc>
        <w:tc>
          <w:tcPr>
            <w:tcW w:w="4917" w:type="dxa"/>
          </w:tcPr>
          <w:p w14:paraId="7EB0FACF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12-24 个月 cliff + 24-36 个月线性释放</w:t>
            </w:r>
          </w:p>
        </w:tc>
      </w:tr>
      <w:tr w14:paraId="34ED16A4">
        <w:trPr>
          <w:jc w:val="center"/>
        </w:trPr>
        <w:tc>
          <w:tcPr>
            <w:tcW w:w="4917" w:type="dxa"/>
            <w:shd w:val="clear" w:color="auto" w:fill="EAF7F4"/>
          </w:tcPr>
          <w:p w14:paraId="53F5FA96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Strategic</w:t>
            </w:r>
          </w:p>
        </w:tc>
        <w:tc>
          <w:tcPr>
            <w:tcW w:w="4917" w:type="dxa"/>
          </w:tcPr>
          <w:p w14:paraId="22394D77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6-12 个月 cliff + 分期释放</w:t>
            </w:r>
          </w:p>
        </w:tc>
      </w:tr>
      <w:tr w14:paraId="635459F6">
        <w:trPr>
          <w:jc w:val="center"/>
        </w:trPr>
        <w:tc>
          <w:tcPr>
            <w:tcW w:w="4917" w:type="dxa"/>
            <w:shd w:val="clear" w:color="auto" w:fill="EAF7F4"/>
          </w:tcPr>
          <w:p w14:paraId="3E70072C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Treasury</w:t>
            </w:r>
          </w:p>
        </w:tc>
        <w:tc>
          <w:tcPr>
            <w:tcW w:w="4917" w:type="dxa"/>
          </w:tcPr>
          <w:p w14:paraId="5B054ECE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按预算与里程碑使用</w:t>
            </w:r>
          </w:p>
        </w:tc>
      </w:tr>
      <w:tr w14:paraId="73A83A78">
        <w:trPr>
          <w:jc w:val="center"/>
        </w:trPr>
        <w:tc>
          <w:tcPr>
            <w:tcW w:w="4917" w:type="dxa"/>
            <w:shd w:val="clear" w:color="auto" w:fill="EAF7F4"/>
          </w:tcPr>
          <w:p w14:paraId="355C4918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Ecosystem</w:t>
            </w:r>
          </w:p>
        </w:tc>
        <w:tc>
          <w:tcPr>
            <w:tcW w:w="4917" w:type="dxa"/>
          </w:tcPr>
          <w:p w14:paraId="7FAD919E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按真实产品行为逐步释放</w:t>
            </w:r>
          </w:p>
        </w:tc>
      </w:tr>
      <w:tr w14:paraId="7A727756">
        <w:trPr>
          <w:jc w:val="center"/>
        </w:trPr>
        <w:tc>
          <w:tcPr>
            <w:tcW w:w="4917" w:type="dxa"/>
            <w:shd w:val="clear" w:color="auto" w:fill="EAF7F4"/>
          </w:tcPr>
          <w:p w14:paraId="14882A91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Liquidity</w:t>
            </w:r>
          </w:p>
        </w:tc>
        <w:tc>
          <w:tcPr>
            <w:tcW w:w="4917" w:type="dxa"/>
          </w:tcPr>
          <w:p w14:paraId="43AB96DA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根据真实 DEX 池需求部署</w:t>
            </w:r>
          </w:p>
        </w:tc>
      </w:tr>
      <w:tr w14:paraId="5A111D7D">
        <w:trPr>
          <w:jc w:val="center"/>
        </w:trPr>
        <w:tc>
          <w:tcPr>
            <w:tcW w:w="4917" w:type="dxa"/>
            <w:shd w:val="clear" w:color="auto" w:fill="EAF7F4"/>
          </w:tcPr>
          <w:p w14:paraId="09061C98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Security Reserve</w:t>
            </w:r>
          </w:p>
        </w:tc>
        <w:tc>
          <w:tcPr>
            <w:tcW w:w="4917" w:type="dxa"/>
          </w:tcPr>
          <w:p w14:paraId="1A3E805B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原则上不流通，仅按安全/研究用途</w:t>
            </w:r>
          </w:p>
        </w:tc>
      </w:tr>
    </w:tbl>
    <w:p w14:paraId="4B7A38C9">
      <w:r>
        <w:rPr>
          <w:rFonts w:ascii="Heiti SC" w:hAnsi="Heiti SC" w:eastAsia="Heiti SC" w:cs="Heiti SC"/>
        </w:rPr>
        <w:br w:type="page"/>
      </w:r>
    </w:p>
    <w:p w14:paraId="35F4B50E">
      <w:r>
        <w:rPr>
          <w:rFonts w:ascii="Heiti SC" w:hAnsi="Heiti SC" w:eastAsia="Heiti SC" w:cs="Heiti SC"/>
          <w:b/>
          <w:color w:val="31D89A"/>
          <w:sz w:val="22"/>
        </w:rPr>
        <w:t xml:space="preserve">13  </w:t>
      </w:r>
      <w:r>
        <w:rPr>
          <w:rFonts w:ascii="Heiti SC" w:hAnsi="Heiti SC" w:eastAsia="Heiti SC" w:cs="Heiti SC"/>
          <w:b/>
          <w:color w:val="071522"/>
          <w:sz w:val="40"/>
        </w:rPr>
        <w:t>NVB Consumption Model</w:t>
      </w:r>
    </w:p>
    <w:p w14:paraId="5261622D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通过真实产品使用形成通行证价值</w:t>
      </w:r>
    </w:p>
    <w:p w14:paraId="73E3F5B8">
      <w:pPr>
        <w:spacing w:after="100" w:line="283" w:lineRule="auto"/>
      </w:pPr>
      <w:r>
        <w:rPr>
          <w:rFonts w:ascii="Heiti SC" w:hAnsi="Heiti SC" w:eastAsia="Heiti SC" w:cs="Heiti SC"/>
          <w:b w:val="0"/>
          <w:color w:val="172636"/>
          <w:sz w:val="20"/>
        </w:rPr>
        <w:t>具体 NVB 数量不在 V3.0 固定。由于 Token 市场价格会变化，服务定价应避免因为币价波动而失控。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4917"/>
      </w:tblGrid>
      <w:tr w14:paraId="2E55BAEA">
        <w:trPr>
          <w:jc w:val="center"/>
        </w:trPr>
        <w:tc>
          <w:tcPr>
            <w:tcW w:w="4917" w:type="dxa"/>
            <w:shd w:val="clear" w:color="auto" w:fill="071522"/>
          </w:tcPr>
          <w:p w14:paraId="567BE588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项目</w:t>
            </w:r>
          </w:p>
        </w:tc>
        <w:tc>
          <w:tcPr>
            <w:tcW w:w="4917" w:type="dxa"/>
            <w:shd w:val="clear" w:color="auto" w:fill="071522"/>
          </w:tcPr>
          <w:p w14:paraId="3AEE2DE8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说明</w:t>
            </w:r>
          </w:p>
        </w:tc>
      </w:tr>
      <w:tr w14:paraId="073FA1F7">
        <w:trPr>
          <w:jc w:val="center"/>
        </w:trPr>
        <w:tc>
          <w:tcPr>
            <w:tcW w:w="4917" w:type="dxa"/>
            <w:shd w:val="clear" w:color="auto" w:fill="EAF7F4"/>
          </w:tcPr>
          <w:p w14:paraId="583E2189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Free</w:t>
            </w:r>
          </w:p>
        </w:tc>
        <w:tc>
          <w:tcPr>
            <w:tcW w:w="4917" w:type="dxa"/>
          </w:tcPr>
          <w:p w14:paraId="49AF7D60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基础数据与部分 Radar / 0 NVB</w:t>
            </w:r>
          </w:p>
        </w:tc>
      </w:tr>
      <w:tr w14:paraId="6171A84F">
        <w:trPr>
          <w:jc w:val="center"/>
        </w:trPr>
        <w:tc>
          <w:tcPr>
            <w:tcW w:w="4917" w:type="dxa"/>
            <w:shd w:val="clear" w:color="auto" w:fill="EAF7F4"/>
          </w:tcPr>
          <w:p w14:paraId="2FF2E973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Pro</w:t>
            </w:r>
          </w:p>
        </w:tc>
        <w:tc>
          <w:tcPr>
            <w:tcW w:w="4917" w:type="dxa"/>
          </w:tcPr>
          <w:p w14:paraId="498BF31E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完整原因解释、更多资产与预警 / 周期消耗</w:t>
            </w:r>
          </w:p>
        </w:tc>
      </w:tr>
      <w:tr w14:paraId="646F334B">
        <w:trPr>
          <w:jc w:val="center"/>
        </w:trPr>
        <w:tc>
          <w:tcPr>
            <w:tcW w:w="4917" w:type="dxa"/>
            <w:shd w:val="clear" w:color="auto" w:fill="EAF7F4"/>
          </w:tcPr>
          <w:p w14:paraId="5151ADFF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Turbo</w:t>
            </w:r>
          </w:p>
        </w:tc>
        <w:tc>
          <w:tcPr>
            <w:tcW w:w="4917" w:type="dxa"/>
          </w:tcPr>
          <w:p w14:paraId="56C3202C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新币、DEX、Flow 高级雷达 / 周期 + 功能消耗</w:t>
            </w:r>
          </w:p>
        </w:tc>
      </w:tr>
      <w:tr w14:paraId="03908220">
        <w:trPr>
          <w:jc w:val="center"/>
        </w:trPr>
        <w:tc>
          <w:tcPr>
            <w:tcW w:w="4917" w:type="dxa"/>
            <w:shd w:val="clear" w:color="auto" w:fill="EAF7F4"/>
          </w:tcPr>
          <w:p w14:paraId="07755340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Institutional</w:t>
            </w:r>
          </w:p>
        </w:tc>
        <w:tc>
          <w:tcPr>
            <w:tcW w:w="4917" w:type="dxa"/>
          </w:tcPr>
          <w:p w14:paraId="2A097D69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团队席位、Webhook、API、历史数据 / Credits 或商业合同</w:t>
            </w:r>
          </w:p>
        </w:tc>
      </w:tr>
      <w:tr w14:paraId="6D9894B6">
        <w:trPr>
          <w:jc w:val="center"/>
        </w:trPr>
        <w:tc>
          <w:tcPr>
            <w:tcW w:w="4917" w:type="dxa"/>
            <w:shd w:val="clear" w:color="auto" w:fill="EAF7F4"/>
          </w:tcPr>
          <w:p w14:paraId="7ABD8FA2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Developer</w:t>
            </w:r>
          </w:p>
        </w:tc>
        <w:tc>
          <w:tcPr>
            <w:tcW w:w="4917" w:type="dxa"/>
          </w:tcPr>
          <w:p w14:paraId="119A9CE8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API 调用与数据产品 / Credits 计量</w:t>
            </w:r>
          </w:p>
        </w:tc>
      </w:tr>
    </w:tbl>
    <w:p w14:paraId="25476E60">
      <w:r>
        <w:rPr>
          <w:rFonts w:ascii="Heiti SC" w:hAnsi="Heiti SC" w:eastAsia="Heiti SC" w:cs="Heiti SC"/>
        </w:rPr>
        <w:br w:type="page"/>
      </w:r>
    </w:p>
    <w:p w14:paraId="53158E6D">
      <w:r>
        <w:rPr>
          <w:rFonts w:ascii="Heiti SC" w:hAnsi="Heiti SC" w:eastAsia="Heiti SC" w:cs="Heiti SC"/>
          <w:b/>
          <w:color w:val="31D89A"/>
          <w:sz w:val="22"/>
        </w:rPr>
        <w:t xml:space="preserve">14  </w:t>
      </w:r>
      <w:r>
        <w:rPr>
          <w:rFonts w:ascii="Heiti SC" w:hAnsi="Heiti SC" w:eastAsia="Heiti SC" w:cs="Heiti SC"/>
          <w:b/>
          <w:color w:val="071522"/>
          <w:sz w:val="40"/>
        </w:rPr>
        <w:t>Business Model</w:t>
      </w:r>
    </w:p>
    <w:p w14:paraId="3E86FE31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真实收入来自产品，而不是 Token 价格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4917"/>
      </w:tblGrid>
      <w:tr w14:paraId="20C4AB76">
        <w:trPr>
          <w:jc w:val="center"/>
        </w:trPr>
        <w:tc>
          <w:tcPr>
            <w:tcW w:w="4917" w:type="dxa"/>
            <w:shd w:val="clear" w:color="auto" w:fill="071522"/>
          </w:tcPr>
          <w:p w14:paraId="6DCD1991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项目</w:t>
            </w:r>
          </w:p>
        </w:tc>
        <w:tc>
          <w:tcPr>
            <w:tcW w:w="4917" w:type="dxa"/>
            <w:shd w:val="clear" w:color="auto" w:fill="071522"/>
          </w:tcPr>
          <w:p w14:paraId="0C1BA554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说明</w:t>
            </w:r>
          </w:p>
        </w:tc>
      </w:tr>
      <w:tr w14:paraId="3FFFC4FC">
        <w:trPr>
          <w:jc w:val="center"/>
        </w:trPr>
        <w:tc>
          <w:tcPr>
            <w:tcW w:w="4917" w:type="dxa"/>
            <w:shd w:val="clear" w:color="auto" w:fill="EAF7F4"/>
          </w:tcPr>
          <w:p w14:paraId="1B15D3C9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Consumer Subscription</w:t>
            </w:r>
          </w:p>
        </w:tc>
        <w:tc>
          <w:tcPr>
            <w:tcW w:w="4917" w:type="dxa"/>
          </w:tcPr>
          <w:p w14:paraId="068D72EF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Pro / Turbo 订阅</w:t>
            </w:r>
          </w:p>
        </w:tc>
      </w:tr>
      <w:tr w14:paraId="481103D0">
        <w:trPr>
          <w:jc w:val="center"/>
        </w:trPr>
        <w:tc>
          <w:tcPr>
            <w:tcW w:w="4917" w:type="dxa"/>
            <w:shd w:val="clear" w:color="auto" w:fill="EAF7F4"/>
          </w:tcPr>
          <w:p w14:paraId="0E28EEA7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Usage Revenue</w:t>
            </w:r>
          </w:p>
        </w:tc>
        <w:tc>
          <w:tcPr>
            <w:tcW w:w="4917" w:type="dxa"/>
          </w:tcPr>
          <w:p w14:paraId="05B8356A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AI 深度分析、历史数据、特殊扫描</w:t>
            </w:r>
          </w:p>
        </w:tc>
      </w:tr>
      <w:tr w14:paraId="0A51E22D">
        <w:trPr>
          <w:jc w:val="center"/>
        </w:trPr>
        <w:tc>
          <w:tcPr>
            <w:tcW w:w="4917" w:type="dxa"/>
            <w:shd w:val="clear" w:color="auto" w:fill="EAF7F4"/>
          </w:tcPr>
          <w:p w14:paraId="4F946ABD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API Revenue</w:t>
            </w:r>
          </w:p>
        </w:tc>
        <w:tc>
          <w:tcPr>
            <w:tcW w:w="4917" w:type="dxa"/>
          </w:tcPr>
          <w:p w14:paraId="5D1141E6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开发者和机构 API</w:t>
            </w:r>
          </w:p>
        </w:tc>
      </w:tr>
      <w:tr w14:paraId="434A9311">
        <w:trPr>
          <w:jc w:val="center"/>
        </w:trPr>
        <w:tc>
          <w:tcPr>
            <w:tcW w:w="4917" w:type="dxa"/>
            <w:shd w:val="clear" w:color="auto" w:fill="EAF7F4"/>
          </w:tcPr>
          <w:p w14:paraId="3B1B1BA8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Enterprise</w:t>
            </w:r>
          </w:p>
        </w:tc>
        <w:tc>
          <w:tcPr>
            <w:tcW w:w="4917" w:type="dxa"/>
          </w:tcPr>
          <w:p w14:paraId="3F47EA99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定制 Radar、数据与监控服务</w:t>
            </w:r>
          </w:p>
        </w:tc>
      </w:tr>
      <w:tr w14:paraId="011B7F77">
        <w:trPr>
          <w:jc w:val="center"/>
        </w:trPr>
        <w:tc>
          <w:tcPr>
            <w:tcW w:w="4917" w:type="dxa"/>
            <w:shd w:val="clear" w:color="auto" w:fill="EAF7F4"/>
          </w:tcPr>
          <w:p w14:paraId="1B832592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Data Products</w:t>
            </w:r>
          </w:p>
        </w:tc>
        <w:tc>
          <w:tcPr>
            <w:tcW w:w="4917" w:type="dxa"/>
          </w:tcPr>
          <w:p w14:paraId="28225164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历史数据集、研究导出、专业数据包</w:t>
            </w:r>
          </w:p>
        </w:tc>
      </w:tr>
    </w:tbl>
    <w:p w14:paraId="7A161450">
      <w:r>
        <w:rPr>
          <w:rFonts w:ascii="Heiti SC" w:hAnsi="Heiti SC" w:eastAsia="Heiti SC" w:cs="Heiti SC"/>
        </w:rPr>
        <w:br w:type="page"/>
      </w:r>
    </w:p>
    <w:p w14:paraId="102E004C">
      <w:r>
        <w:rPr>
          <w:rFonts w:ascii="Heiti SC" w:hAnsi="Heiti SC" w:eastAsia="Heiti SC" w:cs="Heiti SC"/>
          <w:b/>
          <w:color w:val="31D89A"/>
          <w:sz w:val="22"/>
        </w:rPr>
        <w:t xml:space="preserve">15  </w:t>
      </w:r>
      <w:r>
        <w:rPr>
          <w:rFonts w:ascii="Heiti SC" w:hAnsi="Heiti SC" w:eastAsia="Heiti SC" w:cs="Heiti SC"/>
          <w:b/>
          <w:color w:val="071522"/>
          <w:sz w:val="40"/>
        </w:rPr>
        <w:t>Three-year Roadmap</w:t>
      </w:r>
    </w:p>
    <w:p w14:paraId="2C69BDE8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从产品验证到 Intelligence Network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4917"/>
      </w:tblGrid>
      <w:tr w14:paraId="4E62FD95">
        <w:trPr>
          <w:jc w:val="center"/>
        </w:trPr>
        <w:tc>
          <w:tcPr>
            <w:tcW w:w="4917" w:type="dxa"/>
            <w:shd w:val="clear" w:color="auto" w:fill="071522"/>
          </w:tcPr>
          <w:p w14:paraId="579B799A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项目</w:t>
            </w:r>
          </w:p>
        </w:tc>
        <w:tc>
          <w:tcPr>
            <w:tcW w:w="4917" w:type="dxa"/>
            <w:shd w:val="clear" w:color="auto" w:fill="071522"/>
          </w:tcPr>
          <w:p w14:paraId="20A68EA7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说明</w:t>
            </w:r>
          </w:p>
        </w:tc>
      </w:tr>
      <w:tr w14:paraId="1FA7AF4A">
        <w:trPr>
          <w:jc w:val="center"/>
        </w:trPr>
        <w:tc>
          <w:tcPr>
            <w:tcW w:w="4917" w:type="dxa"/>
            <w:shd w:val="clear" w:color="auto" w:fill="EAF7F4"/>
          </w:tcPr>
          <w:p w14:paraId="0FEAA202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Phase 1 - 0~6M</w:t>
            </w:r>
          </w:p>
        </w:tc>
        <w:tc>
          <w:tcPr>
            <w:tcW w:w="4917" w:type="dxa"/>
          </w:tcPr>
          <w:p w14:paraId="7CAB799B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完善 Market Radar、AI Candidate、原因解释、风险标签</w:t>
            </w:r>
          </w:p>
        </w:tc>
      </w:tr>
      <w:tr w14:paraId="45C89E98">
        <w:trPr>
          <w:jc w:val="center"/>
        </w:trPr>
        <w:tc>
          <w:tcPr>
            <w:tcW w:w="4917" w:type="dxa"/>
            <w:shd w:val="clear" w:color="auto" w:fill="EAF7F4"/>
          </w:tcPr>
          <w:p w14:paraId="12E6FD43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Phase 2 - 6~12M</w:t>
            </w:r>
          </w:p>
        </w:tc>
        <w:tc>
          <w:tcPr>
            <w:tcW w:w="4917" w:type="dxa"/>
          </w:tcPr>
          <w:p w14:paraId="39994AC5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上线 New Token、DEX Pool、Flow Radar、实时预警</w:t>
            </w:r>
          </w:p>
        </w:tc>
      </w:tr>
      <w:tr w14:paraId="35B03205">
        <w:trPr>
          <w:jc w:val="center"/>
        </w:trPr>
        <w:tc>
          <w:tcPr>
            <w:tcW w:w="4917" w:type="dxa"/>
            <w:shd w:val="clear" w:color="auto" w:fill="EAF7F4"/>
          </w:tcPr>
          <w:p w14:paraId="19B7241F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Phase 3 - 12~18M</w:t>
            </w:r>
          </w:p>
        </w:tc>
        <w:tc>
          <w:tcPr>
            <w:tcW w:w="4917" w:type="dxa"/>
          </w:tcPr>
          <w:p w14:paraId="2C694127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NVB 权限、Credits、开发者 API、机构 Dashboard</w:t>
            </w:r>
          </w:p>
        </w:tc>
      </w:tr>
      <w:tr w14:paraId="225035B8">
        <w:trPr>
          <w:jc w:val="center"/>
        </w:trPr>
        <w:tc>
          <w:tcPr>
            <w:tcW w:w="4917" w:type="dxa"/>
            <w:shd w:val="clear" w:color="auto" w:fill="EAF7F4"/>
          </w:tcPr>
          <w:p w14:paraId="4E41C067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Phase 4 - 18~24M</w:t>
            </w:r>
          </w:p>
        </w:tc>
        <w:tc>
          <w:tcPr>
            <w:tcW w:w="4917" w:type="dxa"/>
          </w:tcPr>
          <w:p w14:paraId="0D734034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Prediction Intelligence、历史数据、机构客户</w:t>
            </w:r>
          </w:p>
        </w:tc>
      </w:tr>
      <w:tr w14:paraId="68879960">
        <w:trPr>
          <w:jc w:val="center"/>
        </w:trPr>
        <w:tc>
          <w:tcPr>
            <w:tcW w:w="4917" w:type="dxa"/>
            <w:shd w:val="clear" w:color="auto" w:fill="EAF7F4"/>
          </w:tcPr>
          <w:p w14:paraId="5A464BF7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Phase 5 - 24~36M</w:t>
            </w:r>
          </w:p>
        </w:tc>
        <w:tc>
          <w:tcPr>
            <w:tcW w:w="4917" w:type="dxa"/>
          </w:tcPr>
          <w:p w14:paraId="1C7A6BE0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多链扩展、合作生态、第三方 Intelligence Apps</w:t>
            </w:r>
          </w:p>
        </w:tc>
      </w:tr>
    </w:tbl>
    <w:p w14:paraId="3B03F33C">
      <w:r>
        <w:rPr>
          <w:rFonts w:ascii="Heiti SC" w:hAnsi="Heiti SC" w:eastAsia="Heiti SC" w:cs="Heiti SC"/>
        </w:rPr>
        <w:br w:type="page"/>
      </w:r>
    </w:p>
    <w:p w14:paraId="3E7208B8">
      <w:r>
        <w:rPr>
          <w:rFonts w:ascii="Heiti SC" w:hAnsi="Heiti SC" w:eastAsia="Heiti SC" w:cs="Heiti SC"/>
          <w:b/>
          <w:color w:val="31D89A"/>
          <w:sz w:val="22"/>
        </w:rPr>
        <w:t xml:space="preserve">16  </w:t>
      </w:r>
      <w:r>
        <w:rPr>
          <w:rFonts w:ascii="Heiti SC" w:hAnsi="Heiti SC" w:eastAsia="Heiti SC" w:cs="Heiti SC"/>
          <w:b/>
          <w:color w:val="071522"/>
          <w:sz w:val="40"/>
        </w:rPr>
        <w:t>Security &amp; Data Integrity</w:t>
      </w:r>
    </w:p>
    <w:p w14:paraId="343783B4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可信系统先保证数据，再谈 AI</w:t>
      </w:r>
    </w:p>
    <w:p w14:paraId="25886983">
      <w:pPr>
        <w:spacing w:after="100" w:line="283" w:lineRule="auto"/>
      </w:pPr>
      <w:r>
        <w:rPr>
          <w:rFonts w:ascii="Heiti SC" w:hAnsi="Heiti SC" w:eastAsia="Heiti SC" w:cs="Heiti SC"/>
          <w:b w:val="0"/>
          <w:color w:val="172636"/>
          <w:sz w:val="20"/>
        </w:rPr>
        <w:t>安全重点包括密钥管理、权限隔离、API 限流、数据源健康监控、异常回滚、审计日志、供应商故障降级和智能合约审计。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4917"/>
      </w:tblGrid>
      <w:tr w14:paraId="2ED11FF8">
        <w:trPr>
          <w:jc w:val="center"/>
        </w:trPr>
        <w:tc>
          <w:tcPr>
            <w:tcW w:w="4917" w:type="dxa"/>
            <w:shd w:val="clear" w:color="auto" w:fill="071522"/>
          </w:tcPr>
          <w:p w14:paraId="35245FE4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项目</w:t>
            </w:r>
          </w:p>
        </w:tc>
        <w:tc>
          <w:tcPr>
            <w:tcW w:w="4917" w:type="dxa"/>
            <w:shd w:val="clear" w:color="auto" w:fill="071522"/>
          </w:tcPr>
          <w:p w14:paraId="4917C2EB">
            <w:r>
              <w:rPr>
                <w:rFonts w:ascii="Heiti SC" w:hAnsi="Heiti SC" w:eastAsia="Heiti SC" w:cs="Heiti SC"/>
                <w:b/>
                <w:color w:val="FFFFFF"/>
                <w:sz w:val="17"/>
              </w:rPr>
              <w:t>说明</w:t>
            </w:r>
          </w:p>
        </w:tc>
      </w:tr>
      <w:tr w14:paraId="6F08AFEA">
        <w:trPr>
          <w:jc w:val="center"/>
        </w:trPr>
        <w:tc>
          <w:tcPr>
            <w:tcW w:w="4917" w:type="dxa"/>
            <w:shd w:val="clear" w:color="auto" w:fill="EAF7F4"/>
          </w:tcPr>
          <w:p w14:paraId="739A97FA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Data Provenance</w:t>
            </w:r>
          </w:p>
        </w:tc>
        <w:tc>
          <w:tcPr>
            <w:tcW w:w="4917" w:type="dxa"/>
          </w:tcPr>
          <w:p w14:paraId="582BEEBA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保存来源、时间戳、解析版本</w:t>
            </w:r>
          </w:p>
        </w:tc>
      </w:tr>
      <w:tr w14:paraId="66ACBFCD">
        <w:trPr>
          <w:jc w:val="center"/>
        </w:trPr>
        <w:tc>
          <w:tcPr>
            <w:tcW w:w="4917" w:type="dxa"/>
            <w:shd w:val="clear" w:color="auto" w:fill="EAF7F4"/>
          </w:tcPr>
          <w:p w14:paraId="5B168916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Model Versioning</w:t>
            </w:r>
          </w:p>
        </w:tc>
        <w:tc>
          <w:tcPr>
            <w:tcW w:w="4917" w:type="dxa"/>
          </w:tcPr>
          <w:p w14:paraId="1AA0F4E4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信号和风险模型版本可追踪</w:t>
            </w:r>
          </w:p>
        </w:tc>
      </w:tr>
      <w:tr w14:paraId="7B7BF783">
        <w:trPr>
          <w:jc w:val="center"/>
        </w:trPr>
        <w:tc>
          <w:tcPr>
            <w:tcW w:w="4917" w:type="dxa"/>
            <w:shd w:val="clear" w:color="auto" w:fill="EAF7F4"/>
          </w:tcPr>
          <w:p w14:paraId="3F4C1D7D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Access Control</w:t>
            </w:r>
          </w:p>
        </w:tc>
        <w:tc>
          <w:tcPr>
            <w:tcW w:w="4917" w:type="dxa"/>
          </w:tcPr>
          <w:p w14:paraId="2ED7D3EA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机构与管理员权限分层</w:t>
            </w:r>
          </w:p>
        </w:tc>
      </w:tr>
      <w:tr w14:paraId="1CF19AAB">
        <w:trPr>
          <w:jc w:val="center"/>
        </w:trPr>
        <w:tc>
          <w:tcPr>
            <w:tcW w:w="4917" w:type="dxa"/>
            <w:shd w:val="clear" w:color="auto" w:fill="EAF7F4"/>
          </w:tcPr>
          <w:p w14:paraId="40FB7EF2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Treasury Security</w:t>
            </w:r>
          </w:p>
        </w:tc>
        <w:tc>
          <w:tcPr>
            <w:tcW w:w="4917" w:type="dxa"/>
          </w:tcPr>
          <w:p w14:paraId="5CC1344B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多签、权限最小化、资金移动记录</w:t>
            </w:r>
          </w:p>
        </w:tc>
      </w:tr>
      <w:tr w14:paraId="4A7AF56A">
        <w:trPr>
          <w:jc w:val="center"/>
        </w:trPr>
        <w:tc>
          <w:tcPr>
            <w:tcW w:w="4917" w:type="dxa"/>
            <w:shd w:val="clear" w:color="auto" w:fill="EAF7F4"/>
          </w:tcPr>
          <w:p w14:paraId="1D04FFED">
            <w:r>
              <w:rPr>
                <w:rFonts w:ascii="Heiti SC" w:hAnsi="Heiti SC" w:eastAsia="Heiti SC" w:cs="Heiti SC"/>
                <w:b/>
                <w:color w:val="071522"/>
                <w:sz w:val="16"/>
              </w:rPr>
              <w:t>Incident Response</w:t>
            </w:r>
          </w:p>
        </w:tc>
        <w:tc>
          <w:tcPr>
            <w:tcW w:w="4917" w:type="dxa"/>
          </w:tcPr>
          <w:p w14:paraId="46C7ADE7">
            <w:r>
              <w:rPr>
                <w:rFonts w:ascii="Heiti SC" w:hAnsi="Heiti SC" w:eastAsia="Heiti SC" w:cs="Heiti SC"/>
                <w:b w:val="0"/>
                <w:color w:val="172636"/>
                <w:sz w:val="16"/>
              </w:rPr>
              <w:t>故障、数据污染、供应商中断应急流程</w:t>
            </w:r>
          </w:p>
        </w:tc>
      </w:tr>
    </w:tbl>
    <w:p w14:paraId="380E69CA">
      <w:r>
        <w:rPr>
          <w:rFonts w:ascii="Heiti SC" w:hAnsi="Heiti SC" w:eastAsia="Heiti SC" w:cs="Heiti SC"/>
        </w:rPr>
        <w:br w:type="page"/>
      </w:r>
    </w:p>
    <w:p w14:paraId="7FCE47C1">
      <w:r>
        <w:rPr>
          <w:rFonts w:ascii="Heiti SC" w:hAnsi="Heiti SC" w:eastAsia="Heiti SC" w:cs="Heiti SC"/>
          <w:b/>
          <w:color w:val="31D89A"/>
          <w:sz w:val="22"/>
        </w:rPr>
        <w:t xml:space="preserve">17  </w:t>
      </w:r>
      <w:r>
        <w:rPr>
          <w:rFonts w:ascii="Heiti SC" w:hAnsi="Heiti SC" w:eastAsia="Heiti SC" w:cs="Heiti SC"/>
          <w:b/>
          <w:color w:val="071522"/>
          <w:sz w:val="40"/>
        </w:rPr>
        <w:t>Compliance &amp; Disclosure</w:t>
      </w:r>
    </w:p>
    <w:p w14:paraId="20C2A044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产品可以强，承诺必须克制</w:t>
      </w:r>
    </w:p>
    <w:p w14:paraId="78E98CB1">
      <w:pPr>
        <w:spacing w:after="100" w:line="283" w:lineRule="auto"/>
      </w:pPr>
      <w:r>
        <w:rPr>
          <w:rFonts w:ascii="Heiti SC" w:hAnsi="Heiti SC" w:eastAsia="Heiti SC" w:cs="Heiti SC"/>
          <w:b w:val="0"/>
          <w:color w:val="172636"/>
          <w:sz w:val="20"/>
        </w:rPr>
        <w:t>Turbo Radar 提供市场观察、数据整理与辅助分析，不构成投资建议或收益承诺。NVB 的发行、销售、推广、交易、会员兑换和机构服务在不同地区可能适用不同监管要求，应在目标市场上线前完成独立法律、税务和合规审查。</w:t>
      </w:r>
    </w:p>
    <w:p w14:paraId="4DF435F6">
      <w:r>
        <w:rPr>
          <w:rFonts w:ascii="Heiti SC" w:hAnsi="Heiti SC" w:eastAsia="Heiti SC" w:cs="Heiti SC"/>
        </w:rPr>
        <w:br w:type="page"/>
      </w:r>
    </w:p>
    <w:p w14:paraId="1218308D">
      <w:r>
        <w:rPr>
          <w:rFonts w:ascii="Heiti SC" w:hAnsi="Heiti SC" w:eastAsia="Heiti SC" w:cs="Heiti SC"/>
          <w:b/>
          <w:color w:val="31D89A"/>
          <w:sz w:val="22"/>
        </w:rPr>
        <w:t xml:space="preserve">18  </w:t>
      </w:r>
      <w:r>
        <w:rPr>
          <w:rFonts w:ascii="Heiti SC" w:hAnsi="Heiti SC" w:eastAsia="Heiti SC" w:cs="Heiti SC"/>
          <w:b/>
          <w:color w:val="071522"/>
          <w:sz w:val="40"/>
        </w:rPr>
        <w:t>Closing</w:t>
      </w:r>
    </w:p>
    <w:p w14:paraId="6A9D684D">
      <w:pPr>
        <w:spacing w:after="100" w:line="283" w:lineRule="auto"/>
      </w:pPr>
      <w:r>
        <w:rPr>
          <w:rFonts w:ascii="Heiti SC" w:hAnsi="Heiti SC" w:eastAsia="Heiti SC" w:cs="Heiti SC"/>
          <w:b w:val="0"/>
          <w:color w:val="6D8092"/>
          <w:sz w:val="18"/>
        </w:rPr>
        <w:t>NVB — Access Pass to Turbo Radar</w:t>
      </w:r>
    </w:p>
    <w:p w14:paraId="1209F6D1">
      <w:pPr>
        <w:spacing w:after="100" w:line="283" w:lineRule="auto"/>
      </w:pPr>
      <w:r>
        <w:rPr>
          <w:rFonts w:ascii="Heiti SC" w:hAnsi="Heiti SC" w:eastAsia="Heiti SC" w:cs="Heiti SC"/>
          <w:b w:val="0"/>
          <w:color w:val="172636"/>
          <w:sz w:val="20"/>
        </w:rPr>
        <w:t>Turbo Radar 的长期目标不是做更多指标，而是成为加密市场的解释层：把市场、链上、DEX、资金和事件数据转化为任何人都能理解、任何机构都能调用、任何结论都能回到证据的 Intelligence。</w:t>
      </w:r>
    </w:p>
    <w:p w14:paraId="762264DA">
      <w:pPr>
        <w:spacing w:after="100" w:line="283" w:lineRule="auto"/>
      </w:pPr>
      <w:r>
        <w:rPr>
          <w:rFonts w:ascii="Heiti SC" w:hAnsi="Heiti SC" w:eastAsia="Heiti SC" w:cs="Heiti SC"/>
          <w:b w:val="0"/>
          <w:color w:val="172636"/>
          <w:sz w:val="20"/>
        </w:rPr>
        <w:t>Turbo Radar 是产品。NVB 是通往 Turbo Radar 高级功能与生态权限的通行证。先让用户体验产品，再按公开规则使用 NVB 解锁更深入的功能。</w:t>
      </w:r>
    </w:p>
    <w:p w14:paraId="62A8196B">
      <w:r>
        <w:rPr>
          <w:rFonts w:ascii="Heiti SC" w:hAnsi="Heiti SC" w:eastAsia="Heiti SC" w:cs="Heiti SC"/>
        </w:rPr>
        <w:br w:type="page"/>
      </w:r>
    </w:p>
    <w:p w14:paraId="1C49B861">
      <w:pPr>
        <w:spacing w:after="100" w:line="283" w:lineRule="auto"/>
        <w:jc w:val="center"/>
      </w:pPr>
      <w:r>
        <w:rPr>
          <w:rFonts w:ascii="Heiti SC" w:hAnsi="Heiti SC" w:eastAsia="Heiti SC" w:cs="Heiti SC"/>
          <w:b/>
          <w:color w:val="071522"/>
          <w:sz w:val="52"/>
        </w:rPr>
        <w:t>TURBO RADAR</w:t>
      </w:r>
    </w:p>
    <w:p w14:paraId="1CF56017">
      <w:pPr>
        <w:spacing w:after="100" w:line="283" w:lineRule="auto"/>
        <w:jc w:val="center"/>
      </w:pPr>
      <w:r>
        <w:rPr>
          <w:rFonts w:ascii="Heiti SC" w:hAnsi="Heiti SC" w:eastAsia="Heiti SC" w:cs="Heiti SC"/>
          <w:b/>
          <w:color w:val="31D89A"/>
          <w:sz w:val="24"/>
        </w:rPr>
        <w:t>NVB — Access Pass to Turbo Radar</w:t>
      </w:r>
    </w:p>
    <w:p w14:paraId="766C3A52">
      <w:pPr>
        <w:spacing w:after="100" w:line="283" w:lineRule="auto"/>
        <w:jc w:val="center"/>
      </w:pPr>
      <w:r>
        <w:rPr>
          <w:rFonts w:ascii="Heiti SC" w:hAnsi="Heiti SC" w:eastAsia="Heiti SC" w:cs="Heiti SC"/>
          <w:b/>
          <w:color w:val="172636"/>
          <w:sz w:val="30"/>
        </w:rPr>
        <w:t>复杂的数据，简单地看懂。</w:t>
      </w:r>
    </w:p>
    <w:p w14:paraId="3E365987">
      <w:pPr>
        <w:spacing w:after="100" w:line="283" w:lineRule="auto"/>
        <w:jc w:val="center"/>
      </w:pPr>
      <w:r>
        <w:rPr>
          <w:rFonts w:ascii="Heiti SC" w:hAnsi="Heiti SC" w:eastAsia="Heiti SC" w:cs="Heiti SC"/>
          <w:b w:val="0"/>
          <w:color w:val="6D8092"/>
          <w:sz w:val="18"/>
        </w:rPr>
        <w:t>Whitepaper V3.0 · Institutional &amp; Tokenomics Edition</w:t>
      </w:r>
    </w:p>
    <w:sectPr>
      <w:headerReference r:id="rId5" w:type="default"/>
      <w:footerReference r:id="rId6" w:type="default"/>
      <w:pgSz w:w="11909" w:h="16834"/>
      <w:pgMar w:top="936" w:right="1037" w:bottom="936" w:left="103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altName w:val="方正雅意黑 GB18030L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ptos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170E7">
    <w:pPr>
      <w:pStyle w:val="24"/>
      <w:jc w:val="center"/>
    </w:pPr>
    <w:r>
      <w:rPr>
        <w:rFonts w:ascii="Aptos" w:hAnsi="Aptos" w:eastAsia="微软雅黑"/>
        <w:b w:val="0"/>
        <w:color w:val="6D8092"/>
        <w:sz w:val="14"/>
      </w:rPr>
      <w:t>Institutional &amp; Tokenomics Edition | 数据仅用于市场观察，不构成投资建议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963CF1">
    <w:pPr>
      <w:pStyle w:val="25"/>
      <w:jc w:val="right"/>
    </w:pPr>
    <w:r>
      <w:rPr>
        <w:rFonts w:ascii="Aptos" w:hAnsi="Aptos" w:eastAsia="微软雅黑"/>
        <w:b/>
        <w:color w:val="6D8092"/>
        <w:sz w:val="15"/>
      </w:rPr>
      <w:t>TURBO RADAR / NVB / WHITEPAPER V3.0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62D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Heiti SC" w:hAnsi="Heiti SC" w:eastAsia="Heiti SC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 w:ascii="Heiti SC" w:hAnsi="Heiti SC" w:eastAsia="Heiti SC"/>
      <w:b/>
      <w:bCs/>
      <w:color w:val="071522"/>
      <w:sz w:val="3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 w:ascii="Heiti SC" w:hAnsi="Heiti SC" w:eastAsia="Heiti SC"/>
      <w:b/>
      <w:bCs/>
      <w:color w:val="071522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 w:ascii="Heiti SC" w:hAnsi="Heiti SC" w:eastAsia="Heiti SC"/>
      <w:b/>
      <w:bCs/>
      <w:color w:val="071522"/>
      <w:sz w:val="22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 w:ascii="Heiti SC" w:hAnsi="Heiti SC" w:eastAsia="Heiti SC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 w:ascii="Heiti SC" w:hAnsi="Heiti SC" w:eastAsia="Heiti SC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 w:ascii="Heiti SC" w:hAnsi="Heiti SC" w:eastAsia="Heiti SC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 w:ascii="Heiti SC" w:hAnsi="Heiti SC" w:eastAsia="Heiti SC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 w:ascii="Heiti SC" w:hAnsi="Heiti SC" w:eastAsia="Heiti SC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 w:ascii="Heiti SC" w:hAnsi="Heiti SC" w:eastAsia="Heiti SC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  <w:rPr>
      <w:rFonts w:ascii="Heiti SC" w:hAnsi="Heiti SC" w:eastAsia="Heiti SC"/>
    </w:rPr>
  </w:style>
  <w:style w:type="table" w:default="1" w:styleId="32">
    <w:name w:val="Normal Table"/>
    <w:semiHidden/>
    <w:unhideWhenUsed/>
    <w:uiPriority w:val="99"/>
    <w:rPr>
      <w:rFonts w:ascii="Heiti SC" w:hAnsi="Heiti SC" w:eastAsia="Heiti SC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Heiti SC" w:hAnsi="Heiti SC" w:eastAsiaTheme="minorEastAsia" w:cstheme="minorBidi" w:eastAsia="Heiti SC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  <w:rPr>
      <w:rFonts w:ascii="Heiti SC" w:hAnsi="Heiti SC" w:eastAsia="Heiti SC"/>
    </w:r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  <w:rPr>
      <w:rFonts w:ascii="Heiti SC" w:hAnsi="Heiti SC" w:eastAsia="Heiti SC"/>
    </w:r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  <w:rPr>
      <w:rFonts w:ascii="Heiti SC" w:hAnsi="Heiti SC" w:eastAsia="Heiti SC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Heiti SC" w:hAnsi="Heiti SC" w:eastAsia="Heiti SC"/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  <w:rPr>
      <w:rFonts w:ascii="Heiti SC" w:hAnsi="Heiti SC" w:eastAsia="Heiti SC"/>
    </w:r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rFonts w:ascii="Heiti SC" w:hAnsi="Heiti SC" w:eastAsia="Heiti SC"/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  <w:rPr>
      <w:rFonts w:ascii="Heiti SC" w:hAnsi="Heiti SC" w:eastAsia="Heiti SC"/>
    </w:rPr>
  </w:style>
  <w:style w:type="paragraph" w:styleId="19">
    <w:name w:val="Body Text"/>
    <w:basedOn w:val="1"/>
    <w:link w:val="144"/>
    <w:unhideWhenUsed/>
    <w:uiPriority w:val="99"/>
    <w:pPr>
      <w:spacing w:after="120"/>
    </w:pPr>
    <w:rPr>
      <w:rFonts w:ascii="Heiti SC" w:hAnsi="Heiti SC" w:eastAsia="Heiti SC"/>
    </w:r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  <w:rPr>
      <w:rFonts w:ascii="Heiti SC" w:hAnsi="Heiti SC" w:eastAsia="Heiti SC"/>
    </w:rPr>
  </w:style>
  <w:style w:type="paragraph" w:styleId="21">
    <w:name w:val="List 2"/>
    <w:basedOn w:val="1"/>
    <w:unhideWhenUsed/>
    <w:uiPriority w:val="99"/>
    <w:pPr>
      <w:ind w:left="720" w:hanging="360"/>
      <w:contextualSpacing/>
    </w:pPr>
    <w:rPr>
      <w:rFonts w:ascii="Heiti SC" w:hAnsi="Heiti SC" w:eastAsia="Heiti SC"/>
    </w:r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  <w:rPr>
      <w:rFonts w:ascii="Heiti SC" w:hAnsi="Heiti SC" w:eastAsia="Heiti SC"/>
    </w:r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  <w:rPr>
      <w:rFonts w:ascii="Heiti SC" w:hAnsi="Heiti SC" w:eastAsia="Heiti SC"/>
    </w:r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Heiti SC" w:hAnsi="Heiti SC" w:eastAsia="Heiti SC"/>
    </w:r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Heiti SC" w:hAnsi="Heiti SC" w:eastAsia="Heiti SC"/>
    </w:r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 w:ascii="Heiti SC" w:hAnsi="Heiti SC" w:eastAsia="Heiti SC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  <w:rPr>
      <w:rFonts w:ascii="Heiti SC" w:hAnsi="Heiti SC" w:eastAsia="Heiti SC"/>
    </w:r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  <w:rPr>
      <w:rFonts w:ascii="Heiti SC" w:hAnsi="Heiti SC" w:eastAsia="Heiti SC"/>
    </w:r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  <w:rPr>
      <w:rFonts w:ascii="Heiti SC" w:hAnsi="Heiti SC" w:eastAsia="Heiti SC"/>
    </w:r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  <w:rPr>
      <w:rFonts w:ascii="Heiti SC" w:hAnsi="Heiti SC" w:eastAsia="Heiti SC"/>
    </w:r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 w:ascii="Heiti SC" w:hAnsi="Heiti SC" w:eastAsia="Heiti SC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rPr>
      <w:rFonts w:ascii="Heiti SC" w:hAnsi="Heiti SC" w:eastAsia="Heiti SC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rFonts w:ascii="Heiti SC" w:hAnsi="Heiti SC" w:eastAsia="Heiti SC"/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rFonts w:ascii="Heiti SC" w:hAnsi="Heiti SC" w:eastAsia="Heiti SC"/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rFonts w:ascii="Heiti SC" w:hAnsi="Heiti SC" w:eastAsia="Heiti SC"/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rFonts w:ascii="Heiti SC" w:hAnsi="Heiti SC" w:eastAsia="Heiti SC"/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rFonts w:ascii="Heiti SC" w:hAnsi="Heiti SC" w:eastAsia="Heiti SC"/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rFonts w:ascii="Heiti SC" w:hAnsi="Heiti SC" w:eastAsia="Heiti SC"/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rFonts w:ascii="Heiti SC" w:hAnsi="Heiti SC" w:eastAsia="Heiti SC"/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rPr>
      <w:rFonts w:ascii="Heiti SC" w:hAnsi="Heiti SC" w:eastAsia="Heiti SC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rPr>
      <w:rFonts w:ascii="Heiti SC" w:hAnsi="Heiti SC" w:eastAsia="Heiti SC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rPr>
      <w:rFonts w:ascii="Heiti SC" w:hAnsi="Heiti SC" w:eastAsia="Heiti SC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rPr>
      <w:rFonts w:ascii="Heiti SC" w:hAnsi="Heiti SC" w:eastAsia="Heiti SC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rPr>
      <w:rFonts w:ascii="Heiti SC" w:hAnsi="Heiti SC" w:eastAsia="Heiti SC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rPr>
      <w:rFonts w:ascii="Heiti SC" w:hAnsi="Heiti SC" w:eastAsia="Heiti SC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rPr>
      <w:rFonts w:ascii="Heiti SC" w:hAnsi="Heiti SC" w:eastAsia="Heiti SC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rPr>
      <w:rFonts w:ascii="Heiti SC" w:hAnsi="Heiti SC" w:eastAsia="Heiti SC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rPr>
      <w:rFonts w:ascii="Heiti SC" w:hAnsi="Heiti SC" w:eastAsia="Heiti SC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rPr>
      <w:rFonts w:ascii="Heiti SC" w:hAnsi="Heiti SC" w:eastAsia="Heiti SC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rPr>
      <w:rFonts w:ascii="Heiti SC" w:hAnsi="Heiti SC" w:eastAsia="Heiti SC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rPr>
      <w:rFonts w:ascii="Heiti SC" w:hAnsi="Heiti SC" w:eastAsia="Heiti SC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rPr>
      <w:rFonts w:ascii="Heiti SC" w:hAnsi="Heiti SC" w:eastAsia="Heiti SC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rPr>
      <w:rFonts w:ascii="Heiti SC" w:hAnsi="Heiti SC" w:eastAsia="Heiti SC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rPr>
      <w:rFonts w:ascii="Heiti SC" w:hAnsi="Heiti SC" w:eastAsia="Heiti SC"/>
    </w:r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rPr>
      <w:rFonts w:ascii="Heiti SC" w:hAnsi="Heiti SC" w:eastAsia="Heiti SC"/>
    </w:r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rPr>
      <w:rFonts w:ascii="Heiti SC" w:hAnsi="Heiti SC" w:eastAsia="Heiti SC"/>
    </w:r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rPr>
      <w:rFonts w:ascii="Heiti SC" w:hAnsi="Heiti SC" w:eastAsia="Heiti SC"/>
    </w:r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rPr>
      <w:rFonts w:ascii="Heiti SC" w:hAnsi="Heiti SC" w:eastAsia="Heiti SC"/>
    </w:r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rPr>
      <w:rFonts w:ascii="Heiti SC" w:hAnsi="Heiti SC" w:eastAsia="Heiti SC"/>
    </w:r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rPr>
      <w:rFonts w:ascii="Heiti SC" w:hAnsi="Heiti SC" w:eastAsia="Heiti SC"/>
    </w:r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rPr>
      <w:rFonts w:ascii="Heiti SC" w:hAnsi="Heiti SC" w:eastAsia="Heiti SC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rPr>
      <w:rFonts w:ascii="Heiti SC" w:hAnsi="Heiti SC" w:eastAsia="Heiti SC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rPr>
      <w:rFonts w:ascii="Heiti SC" w:hAnsi="Heiti SC" w:eastAsia="Heiti SC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rPr>
      <w:rFonts w:ascii="Heiti SC" w:hAnsi="Heiti SC" w:eastAsia="Heiti SC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rPr>
      <w:rFonts w:ascii="Heiti SC" w:hAnsi="Heiti SC" w:eastAsia="Heiti SC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rPr>
      <w:rFonts w:ascii="Heiti SC" w:hAnsi="Heiti SC" w:eastAsia="Heiti SC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rPr>
      <w:rFonts w:ascii="Heiti SC" w:hAnsi="Heiti SC" w:eastAsia="Heiti SC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rPr>
      <w:rFonts w:ascii="Heiti SC" w:hAnsi="Heiti SC" w:eastAsia="Heiti SC"/>
    </w:r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rPr>
      <w:rFonts w:ascii="Heiti SC" w:hAnsi="Heiti SC" w:eastAsia="Heiti SC"/>
    </w:r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rPr>
      <w:rFonts w:ascii="Heiti SC" w:hAnsi="Heiti SC" w:eastAsia="Heiti SC"/>
    </w:r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rPr>
      <w:rFonts w:ascii="Heiti SC" w:hAnsi="Heiti SC" w:eastAsia="Heiti SC"/>
    </w:r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rPr>
      <w:rFonts w:ascii="Heiti SC" w:hAnsi="Heiti SC" w:eastAsia="Heiti SC"/>
    </w:r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rPr>
      <w:rFonts w:ascii="Heiti SC" w:hAnsi="Heiti SC" w:eastAsia="Heiti SC"/>
    </w:r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rPr>
      <w:rFonts w:ascii="Heiti SC" w:hAnsi="Heiti SC" w:eastAsia="Heiti SC"/>
    </w:r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rPr>
      <w:rFonts w:ascii="Heiti SC" w:hAnsi="Heiti SC" w:eastAsia="Heiti SC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rPr>
      <w:rFonts w:ascii="Heiti SC" w:hAnsi="Heiti SC" w:eastAsia="Heiti SC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rPr>
      <w:rFonts w:ascii="Heiti SC" w:hAnsi="Heiti SC" w:eastAsia="Heiti SC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rPr>
      <w:rFonts w:ascii="Heiti SC" w:hAnsi="Heiti SC" w:eastAsia="Heiti SC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rPr>
      <w:rFonts w:ascii="Heiti SC" w:hAnsi="Heiti SC" w:eastAsia="Heiti SC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rPr>
      <w:rFonts w:ascii="Heiti SC" w:hAnsi="Heiti SC" w:eastAsia="Heiti SC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rPr>
      <w:rFonts w:ascii="Heiti SC" w:hAnsi="Heiti SC" w:eastAsia="Heiti SC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rFonts w:ascii="Heiti SC" w:hAnsi="Heiti SC" w:eastAsia="Heiti SC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rFonts w:ascii="Heiti SC" w:hAnsi="Heiti SC" w:eastAsia="Heiti SC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rFonts w:ascii="Heiti SC" w:hAnsi="Heiti SC" w:eastAsia="Heiti SC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rFonts w:ascii="Heiti SC" w:hAnsi="Heiti SC" w:eastAsia="Heiti SC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rFonts w:ascii="Heiti SC" w:hAnsi="Heiti SC" w:eastAsia="Heiti SC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rFonts w:ascii="Heiti SC" w:hAnsi="Heiti SC" w:eastAsia="Heiti SC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rFonts w:ascii="Heiti SC" w:hAnsi="Heiti SC" w:eastAsia="Heiti SC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rFonts w:ascii="Heiti SC" w:hAnsi="Heiti SC" w:eastAsia="Heiti SC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rFonts w:ascii="Heiti SC" w:hAnsi="Heiti SC" w:eastAsia="Heiti SC"/>
      <w:b/>
      <w:bCs/>
    </w:rPr>
  </w:style>
  <w:style w:type="character" w:styleId="134">
    <w:name w:val="Emphasis"/>
    <w:basedOn w:val="132"/>
    <w:qFormat/>
    <w:uiPriority w:val="20"/>
    <w:rPr>
      <w:rFonts w:ascii="Heiti SC" w:hAnsi="Heiti SC" w:eastAsia="Heiti SC"/>
      <w:i/>
      <w:iCs/>
    </w:rPr>
  </w:style>
  <w:style w:type="character" w:customStyle="1" w:styleId="135">
    <w:name w:val="Header Char"/>
    <w:basedOn w:val="132"/>
    <w:link w:val="25"/>
    <w:uiPriority w:val="99"/>
    <w:rPr>
      <w:rFonts w:ascii="Heiti SC" w:hAnsi="Heiti SC" w:eastAsia="Heiti SC"/>
    </w:rPr>
  </w:style>
  <w:style w:type="character" w:customStyle="1" w:styleId="136">
    <w:name w:val="Footer Char"/>
    <w:basedOn w:val="132"/>
    <w:link w:val="24"/>
    <w:uiPriority w:val="99"/>
    <w:rPr>
      <w:rFonts w:ascii="Heiti SC" w:hAnsi="Heiti SC" w:eastAsia="Heiti SC"/>
    </w:rPr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 w:ascii="Heiti SC" w:hAnsi="Heiti SC" w:eastAsia="Heiti SC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 w:ascii="Heiti SC" w:hAnsi="Heiti SC" w:eastAsia="Heiti SC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 w:ascii="Heiti SC" w:hAnsi="Heiti SC" w:eastAsia="Heiti SC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 w:ascii="Heiti SC" w:hAnsi="Heiti SC" w:eastAsia="Heiti SC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 w:ascii="Heiti SC" w:hAnsi="Heiti SC" w:eastAsia="Heiti SC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 w:ascii="Heiti SC" w:hAnsi="Heiti SC" w:eastAsia="Heiti SC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  <w:rPr>
      <w:rFonts w:ascii="Heiti SC" w:hAnsi="Heiti SC" w:eastAsia="Heiti SC"/>
    </w:rPr>
  </w:style>
  <w:style w:type="character" w:customStyle="1" w:styleId="144">
    <w:name w:val="Body Text Char"/>
    <w:basedOn w:val="132"/>
    <w:link w:val="19"/>
    <w:uiPriority w:val="99"/>
    <w:rPr>
      <w:rFonts w:ascii="Heiti SC" w:hAnsi="Heiti SC" w:eastAsia="Heiti SC"/>
    </w:rPr>
  </w:style>
  <w:style w:type="character" w:customStyle="1" w:styleId="145">
    <w:name w:val="Body Text 2 Char"/>
    <w:basedOn w:val="132"/>
    <w:link w:val="28"/>
    <w:uiPriority w:val="99"/>
    <w:rPr>
      <w:rFonts w:ascii="Heiti SC" w:hAnsi="Heiti SC" w:eastAsia="Heiti SC"/>
    </w:rPr>
  </w:style>
  <w:style w:type="character" w:customStyle="1" w:styleId="146">
    <w:name w:val="Body Text 3 Char"/>
    <w:basedOn w:val="132"/>
    <w:link w:val="17"/>
    <w:uiPriority w:val="99"/>
    <w:rPr>
      <w:rFonts w:ascii="Heiti SC" w:hAnsi="Heiti SC" w:eastAsia="Heiti SC"/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Heiti SC" w:hAnsi="Heiti SC" w:eastAsia="Heiti SC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rFonts w:ascii="Heiti SC" w:hAnsi="Heiti SC" w:eastAsia="Heiti SC"/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rFonts w:ascii="Heiti SC" w:hAnsi="Heiti SC" w:eastAsia="Heiti SC"/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 w:ascii="Heiti SC" w:hAnsi="Heiti SC" w:eastAsia="Heiti SC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 w:ascii="Heiti SC" w:hAnsi="Heiti SC" w:eastAsia="Heiti SC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 w:ascii="Heiti SC" w:hAnsi="Heiti SC" w:eastAsia="Heiti SC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 w:ascii="Heiti SC" w:hAnsi="Heiti SC" w:eastAsia="Heiti SC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 w:ascii="Heiti SC" w:hAnsi="Heiti SC" w:eastAsia="Heiti SC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 w:ascii="Heiti SC" w:hAnsi="Heiti SC" w:eastAsia="Heiti SC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rFonts w:ascii="Heiti SC" w:hAnsi="Heiti SC" w:eastAsia="Heiti SC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rFonts w:ascii="Heiti SC" w:hAnsi="Heiti SC" w:eastAsia="Heiti SC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rFonts w:ascii="Heiti SC" w:hAnsi="Heiti SC" w:eastAsia="Heiti SC"/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rFonts w:ascii="Heiti SC" w:hAnsi="Heiti SC" w:eastAsia="Heiti SC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rFonts w:ascii="Heiti SC" w:hAnsi="Heiti SC" w:eastAsia="Heiti SC"/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rFonts w:ascii="Heiti SC" w:hAnsi="Heiti SC" w:eastAsia="Heiti SC"/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rFonts w:ascii="Heiti SC" w:hAnsi="Heiti SC" w:eastAsia="Heiti SC"/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  <w:rPr>
      <w:rFonts w:ascii="Heiti SC" w:hAnsi="Heiti SC" w:eastAsia="Heiti SC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Carmelo Anthony</cp:lastModifiedBy>
  <dcterms:modified xsi:type="dcterms:W3CDTF">2026-09-24T19:28:35Z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3821A88AA59A84A86309B56A0772A5F9_42</vt:lpwstr>
  </property>
</Properties>
</file>